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0" w:name="LastJudge"/>
            <w:bookmarkStart w:id="1" w:name="FirstLawyer"/>
            <w:bookmarkStart w:id="2" w:name="LastJudge"/>
            <w:bookmarkStart w:id="3" w:name="FirstLawyer"/>
            <w:bookmarkEnd w:id="2"/>
            <w:bookmarkEnd w:id="3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4" w:name="LawTable"/>
            <w:bookmarkStart w:id="5" w:name="LawTable"/>
            <w:bookmarkEnd w:id="5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cs="FrankRuehl" w:ascii="FrankRuehl" w:hAnsi="FrankRuehl"/>
                <w:color w:val="000080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ascii="FrankRuehl" w:hAnsi="FrankRuehl" w:cs="FrankRuehl"/>
                <w:color w:val="000080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color w:val="000080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275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380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22718-01-14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FirstAppellant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דואק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קרידן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בוטרשוילי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אלישע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חנינוביץ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9" w:name="PsakDin"/>
            <w:bookmarkStart w:id="10" w:name="PsakDin"/>
            <w:bookmarkEnd w:id="10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380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בעניינו של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 xml:space="preserve">כנגד הנאשם שבפני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ונאשם נוסף בשם ניסן אלוני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ניסן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הוגש כתב אישום ואשר כולל שני אירועים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לניסן יוחסה עבירה של תקיפה הגורמת חבלה של ממש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ובעוד שלנאשם יוחסו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וכן הפרעה לשוטר במילוי תפקידו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9.3.2012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בתחומי העיר 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ניסן לבית גרושתו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אל קרידן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שהינה אחותו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לאסוף את שני ילדיהם המשותפים על פי הסדרי הראייה שהיו נהוגים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ניסן לקח את בתו מהרכב שבו נהגה 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רץ לכיוון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אמם של 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מרגלית קרידן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מרגלית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יצאה מתוך ביתה וביקשה מניסן למסור לה את הילדה על מנת להרגיעה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ניסן תקף את מרגלית בכך שנתן לה סטירה לפנים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נגרמה למרגלית חבלה של ממש בדמות נפיחות באזור הלחי משמאל ורגישות מעל הקיר התחתון של ארובת העין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המתואר לעיל הוזעקה למקום 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בתוך תחנת המשטרה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איים הנאשם על ניסן 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על זה שהוא נתן כאפה הוא מת היום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וזאת תוך כדי סימון עם ידו לעברו של 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נוכח בתחנה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בתנועה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חכה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המשיך לאיים על ניסן 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אם הוא לא נעצר אני מגיע אליו הביתה ומפרק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אכפת לי שיפתחו לי תיק פלילי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השוטר יוסי שניידר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יוסי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שמילא תפקידו כדין באותה עת ושמע את האיומים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לנאשם כי הוא מעוכב וביקש ממנו לבוא עמו מעמדת היומנאי לתוך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להרחיקו מניסן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הכשיל את יוסי במילוי תפקידו בכך שלא בא עמו ונשאר לעמוד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יוסי הודיע לנאשם כי הוא עצור בגין האיומים וביקש ממנו להתלוות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 המשיך להכשילו במילוי תפקידו בכך שנשאר לעמוד במקום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עינינו הרואות כי האירוע נשוא כתב האישום מחולק לשני אירועי משנה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הראשון עניינו עבירה של תקיפה הגורמת חבלה של ממש שמיוחסת לניסן כלפי מרגלית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מחוץ לביתה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השני הינו אירוע נפרד שהתרחש בתחנת המשטרה ברמלה בהמשך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ושבו הנאשם איים שיפגע בניסן בנוכחות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הפריע ליוסי במילוי תפקידו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וניסן הורשעו בעבירות שיוחסו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שתוארו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לגבי כל אחד מהם נשמעו בנפרד ולכן ניתנו שני גזרי דין נפרדים בעניינם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 שרות המבחן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נאמר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הוא 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בת זוג ולהם ילדה משותפת בת חמש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 אין עבר פלילי קודם ושירות המבחן התרשם שהנאשם מנהל אורח חיים נורמטיבי ואינו בעל דפוסי התנהגות עברייניים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עבד בעבר כטכנאי גנרטורים בחברה העובדת בבסיסי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 יהודה ושומרון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פנה לרשויות המוסמכות וביקש לקבל רישיון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והנוהל המקובל במקום העבודה הקודם הוא שהעובדים אמורים לשאת נשק ברישיון וזאת כתנאי להעסקתם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של הנאשם לקבלת רישיון נשק נדחתה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המשטרה עקב קיומו של התיק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פוטר מעבודתו וכיום מחפש עבודה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האירוע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נולד עקב כך שבערה בו חמתו של הנאשם עקב כך שניסן תקף את אמו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המליץ על ביטול ההרשעה ועל הטלת שעות שירות לתועלת הציבור על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שאין מקום לבטל את ההרשעה וזאת לאור העובדה שהנאשם הורשע בשתי עבירות שכל אחת מהן מחייבת את הרשעתו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העבירה של איומים והן העבירה של 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הוכיח קיומו של נזק קונקרטי שעלול להיגרם לו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על הנאשם עונש מאסר בפועל של חודש אחד שיכול וירוצה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שמדובר באירוע הפלילי היחידי שבו היה מעורב במהלך כל חייו ויש לתת את הדעת לנסיבות המיוחדות שבהן בוצעו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פוטר מעבודתו הקודמת עקב העדר יכולתו להוציא רישיון נשק לאור התיק הנוכחי שנפתח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לאמץ את המלצות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הטענה שיש לבטל את ההרשעה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קיימים שני פרמטרים מרכזיים לצורך בחינה של השאלה האם לבטל את ההרשעה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החשש לקיומו של נזק קונקרטי ומוחשי מעצם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שעלול לפגוע בשיקומו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מהות העבירה שבוצעה וחומרתה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לעניין שאלת הנזק הקונקרטי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פסוקה היא שבעת שבית משפט בוחן את השאלה האם 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עליו לבדוק קיומו של נזק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שעלול לפגוע בתפקודו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תוכניות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בפסיקתו של 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הועלתה טענה שיש לבטל את ההרשעה של נאשמים שביצעו עבירה של </w:t>
      </w:r>
      <w:r>
        <w:rPr>
          <w:rFonts w:ascii="Arial" w:hAnsi="Arial" w:cs="Arial"/>
          <w:u w:val="single"/>
          <w:rtl w:val="true"/>
        </w:rPr>
        <w:t>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עבירת </w:t>
      </w:r>
      <w:r>
        <w:rPr>
          <w:rFonts w:ascii="Arial" w:hAnsi="Arial" w:cs="Arial"/>
          <w:u w:val="single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הטענה נדחתה על אף העדר קיומו של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כך שלא הוכח נזק מוחשי וקונקרטי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הדוגמאות הרלבנטיות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שנטען על ידי המבקשת שיש לה כוונה ללמוד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נרשמה ללימודי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 נדחתה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במקרה שבו המבקש שהורשע בעבירת איומים כנגד בת זוגו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כך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בעניין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בו למבקשת לא היה רישום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בקשתה לביטול הרשעתה בעבירה של הפרעה לשוטר במילוי תפקידו נדחתה מאחר ולא הצליחה להצביע על קיומה של פגיעה קונקרטית ומוחשית מעצם ההרשעה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4070/14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17.6.14</w:t>
      </w:r>
      <w:r>
        <w:rPr>
          <w:rFonts w:cs="Arial" w:ascii="Arial" w:hAnsi="Arial"/>
          <w:rtl w:val="true"/>
        </w:rPr>
        <w:t xml:space="preserve">)).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אומנם הועסק </w:t>
      </w:r>
      <w:r>
        <w:rPr>
          <w:rFonts w:ascii="Arial" w:hAnsi="Arial" w:cs="Arial"/>
          <w:u w:val="single"/>
          <w:rtl w:val="true"/>
        </w:rPr>
        <w:t>בעבר</w:t>
      </w:r>
      <w:r>
        <w:rPr>
          <w:rFonts w:ascii="Arial" w:hAnsi="Arial" w:cs="Arial"/>
          <w:rtl w:val="true"/>
        </w:rPr>
        <w:t xml:space="preserve"> כטכנאי גנרטורים ולכן נדרש להוציא רישיון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u w:val="single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עובד באותו מקום והינו תר אחרי מקומות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בכל מקרה לא החזיק רישיון נשק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שמעלה תהייה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הכיצד הועסק מלכתחילה במקום עבודתו הקודם מבלי שהיה לו רישיון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לטענתו  מדובר בתנאי מוקדם להעסקתו באותו 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גם לא הביא את המעסיק הקודם כעד מטעמו שיעיד שאכן פוטר בשל כך שאין ברשותו רישיון נשק ואם יקבל רישיון נשק בעתיד אכן יקבלו בחזרה לאותו מקום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על מנת לדחות את בקשתו לביטול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לעניין סוג העבירות שבוצעו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בפסיקה ישנן אמירות שונות שהעבירה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מתקיימות נסיבות חריגות ומיוחדות שמצדיקות את ביטול ההרשעה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5579/10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2.8.10</w:t>
      </w:r>
      <w:r>
        <w:rPr>
          <w:rFonts w:cs="Arial" w:ascii="Arial" w:hAnsi="Arial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3208/15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הקרי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11.5.15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בנסיבות המקרה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התרשמתי שמתקיימות נסיבות חריגות ומיוחדות המצדיקות את ביטול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ומיקומו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22718-01-14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קרידן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case/17954445" TargetMode="External"/><Relationship Id="rId15" Type="http://schemas.openxmlformats.org/officeDocument/2006/relationships/hyperlink" Target="http://www.nevo.co.il/case/5611948" TargetMode="External"/><Relationship Id="rId16" Type="http://schemas.openxmlformats.org/officeDocument/2006/relationships/hyperlink" Target="http://www.nevo.co.il/case/17014781" TargetMode="External"/><Relationship Id="rId17" Type="http://schemas.openxmlformats.org/officeDocument/2006/relationships/hyperlink" Target="http://www.nevo.co.il/case/6021937" TargetMode="External"/><Relationship Id="rId18" Type="http://schemas.openxmlformats.org/officeDocument/2006/relationships/hyperlink" Target="http://www.nevo.co.il/case/20261206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2018-08-12T12:56:00Z</dcterms:created>
  <dc:creator> </dc:creator>
  <dc:description/>
  <cp:keywords/>
  <dc:language>en-IL</dc:language>
  <cp:lastModifiedBy>run</cp:lastModifiedBy>
  <dcterms:modified xsi:type="dcterms:W3CDTF">2018-08-12T12:56:00Z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רועי קרידן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17954445;5611948;17014781;6021937;20261206</vt:lpwstr>
  </property>
  <property fmtid="{D5CDD505-2E9C-101B-9397-08002B2CF9AE}" pid="9" name="CITY">
    <vt:lpwstr>רמ'</vt:lpwstr>
  </property>
  <property fmtid="{D5CDD505-2E9C-101B-9397-08002B2CF9AE}" pid="10" name="DATE">
    <vt:lpwstr>20161130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70301/192;275:2;380</vt:lpwstr>
  </property>
  <property fmtid="{D5CDD505-2E9C-101B-9397-08002B2CF9AE}" pid="15" name="LAWYER">
    <vt:lpwstr>מעיין דואק;שמעון בוטרשוילי ;אלישע חנינוביץ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22718</vt:lpwstr>
  </property>
  <property fmtid="{D5CDD505-2E9C-101B-9397-08002B2CF9AE}" pid="22" name="NEWPARTB">
    <vt:lpwstr>01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380020161130</vt:lpwstr>
  </property>
  <property fmtid="{D5CDD505-2E9C-101B-9397-08002B2CF9AE}" pid="34" name="TYPE_N_DATE">
    <vt:lpwstr>38020161130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