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22782-12-16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מחלקה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מגידו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הנדסה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ויזמות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Cs w:val="28"/>
              </w:rPr>
              <w:t>2009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הישאם  אבו שחאדה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רשות המיסים ירושלים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מחלקה פלילית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מגידו הנדסה ויזמות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cs="Arial" w:ascii="Arial" w:hAnsi="Arial"/>
                <w:b/>
                <w:bCs/>
              </w:rPr>
              <w:t>2009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עבדאללה מחארב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ארליך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224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4"/>
                <w:szCs w:val="34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4"/>
                <w:szCs w:val="34"/>
                <w:u w:val="single"/>
              </w:rPr>
            </w:pPr>
            <w:r>
              <w:rPr>
                <w:rFonts w:cs="Arial" w:ascii="Arial" w:hAnsi="Arial"/>
                <w:b/>
                <w:bCs/>
                <w:sz w:val="34"/>
                <w:szCs w:val="34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מחזורי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18,666,852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4,819,362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נכבדים</w:t>
      </w:r>
      <w:r>
        <w:rPr>
          <w:rtl w:val="true"/>
        </w:rPr>
        <w:t xml:space="preserve">, </w:t>
      </w:r>
      <w:r>
        <w:rPr>
          <w:rtl w:val="true"/>
        </w:rPr>
        <w:t>והדו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1.6.19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החתימה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22782-12-16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רשות המיסים ירושלים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מחלקה פלילית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מגידו הנדסה ויזמות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cs="David" w:ascii="David" w:hAnsi="David"/>
        <w:color w:val="000000"/>
        <w:sz w:val="22"/>
        <w:szCs w:val="22"/>
      </w:rPr>
      <w:t>2009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216.4" TargetMode="External"/><Relationship Id="rId4" Type="http://schemas.openxmlformats.org/officeDocument/2006/relationships/hyperlink" Target="http://www.nevo.co.il/law/84255/224a" TargetMode="External"/><Relationship Id="rId5" Type="http://schemas.openxmlformats.org/officeDocument/2006/relationships/hyperlink" Target="http://www.nevo.co.il/law/84255/216.4" TargetMode="External"/><Relationship Id="rId6" Type="http://schemas.openxmlformats.org/officeDocument/2006/relationships/hyperlink" Target="http://www.nevo.co.il/law/84255" TargetMode="External"/><Relationship Id="rId7" Type="http://schemas.openxmlformats.org/officeDocument/2006/relationships/hyperlink" Target="http://www.nevo.co.il/law/84255/224a" TargetMode="External"/><Relationship Id="rId8" Type="http://schemas.openxmlformats.org/officeDocument/2006/relationships/hyperlink" Target="http://www.nevo.co.il/law/84255" TargetMode="External"/><Relationship Id="rId9" Type="http://schemas.openxmlformats.org/officeDocument/2006/relationships/hyperlink" Target="http://www.nevo.co.il/law/84255/216.4" TargetMode="External"/><Relationship Id="rId10" Type="http://schemas.openxmlformats.org/officeDocument/2006/relationships/hyperlink" Target="http://www.nevo.co.il/law/84255" TargetMode="External"/><Relationship Id="rId11" Type="http://schemas.openxmlformats.org/officeDocument/2006/relationships/hyperlink" Target="http://www.nevo.co.il/law/84255/224a" TargetMode="External"/><Relationship Id="rId12" Type="http://schemas.openxmlformats.org/officeDocument/2006/relationships/hyperlink" Target="http://www.nevo.co.il/law/84255" TargetMode="External"/><Relationship Id="rId13" Type="http://schemas.openxmlformats.org/officeDocument/2006/relationships/hyperlink" Target="http://www.nevo.co.il/law/84255" TargetMode="External"/><Relationship Id="rId14" Type="http://schemas.openxmlformats.org/officeDocument/2006/relationships/hyperlink" Target="http://www.nevo.co.il/law/84255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2019-04-16T11:47:00Z</dcterms:created>
  <dc:creator> </dc:creator>
  <dc:description/>
  <cp:keywords/>
  <dc:language>en-IL</dc:language>
  <cp:lastModifiedBy>h10</cp:lastModifiedBy>
  <dcterms:modified xsi:type="dcterms:W3CDTF">2019-04-16T11:47:00Z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רשות המיסים ירושלים-מחלקה פלילית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מ. מגידו הנדסה ויזמות (2009) בע#מ;עבדאללה מחארב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20190411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הישאם אבו שחאדה</vt:lpwstr>
  </property>
  <property fmtid="{D5CDD505-2E9C-101B-9397-08002B2CF9AE}" pid="13" name="LAWLISTTMP1">
    <vt:lpwstr>84255/216.4:2;224a:2</vt:lpwstr>
  </property>
  <property fmtid="{D5CDD505-2E9C-101B-9397-08002B2CF9AE}" pid="14" name="LAWYER">
    <vt:lpwstr>עדי ארליך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22782</vt:lpwstr>
  </property>
  <property fmtid="{D5CDD505-2E9C-101B-9397-08002B2CF9AE}" pid="21" name="NEWPARTB">
    <vt:lpwstr>12</vt:lpwstr>
  </property>
  <property fmtid="{D5CDD505-2E9C-101B-9397-08002B2CF9AE}" pid="22" name="NEWPARTC">
    <vt:lpwstr>16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380020190411</vt:lpwstr>
  </property>
  <property fmtid="{D5CDD505-2E9C-101B-9397-08002B2CF9AE}" pid="33" name="TYPE_N_DATE">
    <vt:lpwstr>38020190411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