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418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30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22913-07-22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עמאש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end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50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98"/>
        <w:gridCol w:w="4502"/>
      </w:tblGrid>
      <w:tr>
        <w:trPr>
          <w:trHeight w:val="29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דניאל פיש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998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502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99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502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גאזי עמאש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</w:t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בלומנפלד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52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bookmarkStart w:id="7" w:name="ABSTRACT_START"/>
      <w:bookmarkEnd w:id="7"/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ביצוע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b/>
          <w:bCs/>
          <w:rtl w:val="true"/>
        </w:rPr>
        <w:t>)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0"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");</w:t>
      </w:r>
      <w:r>
        <w:rPr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ירי</w:t>
      </w:r>
      <w:r>
        <w:rPr>
          <w:rFonts w:ascii="Arial" w:hAnsi="Arial" w:cs="Arial"/>
          <w:b/>
          <w:b/>
          <w:bCs/>
          <w:rtl w:val="true"/>
        </w:rPr>
        <w:t xml:space="preserve"> מנשק </w:t>
      </w:r>
      <w:r>
        <w:rPr>
          <w:rFonts w:ascii="Arial" w:hAnsi="Arial" w:cs="Arial"/>
          <w:b/>
          <w:b/>
          <w:bCs/>
          <w:rtl w:val="true"/>
        </w:rPr>
        <w:t>חם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340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</w:rPr>
          <w:t>1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3"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שתי עבירות</w:t>
      </w:r>
      <w:r>
        <w:rPr>
          <w:rFonts w:cs="Arial" w:ascii="Arial" w:hAnsi="Arial"/>
          <w:rtl w:val="true"/>
        </w:rPr>
        <w:t>);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ואיומים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האמור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משפחת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למשפחת</w:t>
      </w:r>
      <w:r>
        <w:rPr>
          <w:rFonts w:ascii="Arial" w:hAnsi="Arial" w:cs="Arial"/>
          <w:rtl w:val="true"/>
        </w:rPr>
        <w:t>ו של</w:t>
      </w:r>
      <w:r>
        <w:rPr>
          <w:rFonts w:ascii="Arial" w:hAnsi="Arial" w:cs="Arial"/>
          <w:rtl w:val="true"/>
        </w:rPr>
        <w:t xml:space="preserve"> אסיל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רבאן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המתלונן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קיים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סכסוך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המשפחות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מתגוררות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בשכנות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השניה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סניף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קופת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חולים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כללית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סר </w:t>
      </w:r>
      <w:r>
        <w:rPr>
          <w:rFonts w:ascii="Arial" w:hAnsi="Arial" w:cs="Arial"/>
          <w:rtl w:val="true"/>
        </w:rPr>
        <w:t>אלזרק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מסוימת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המוקדם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מתאריך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9.4.22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אקדח חצי אוטומטי מסוג </w:t>
      </w:r>
      <w:r>
        <w:rPr>
          <w:rFonts w:cs="Times New Roman"/>
        </w:rPr>
        <w:t>FN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קליבר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ascii="Arial" w:hAnsi="Arial" w:cs="Arial"/>
          <w:rtl w:val="true"/>
        </w:rPr>
        <w:t>פראבלום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בניגוד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בלתי 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הצטייד במחסנית </w:t>
      </w:r>
      <w:r>
        <w:rPr>
          <w:rFonts w:ascii="Arial" w:hAnsi="Arial" w:cs="Arial"/>
          <w:rtl w:val="true"/>
        </w:rPr>
        <w:t>מתאימה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תואמים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בקוטר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17.6.22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רקע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הסכסוך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החליט הנאשם לבצע ירי אל עבר בית המתלונן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ובסמוך לשעה </w:t>
      </w:r>
      <w:r>
        <w:rPr>
          <w:rFonts w:cs="Arial" w:ascii="Arial" w:hAnsi="Arial"/>
        </w:rPr>
        <w:t>00:47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עמד בחצר בית משפחתו וירה מספר כדורים לעבר חלון חדר השינה בבית המתלונן בזמן שבבית שהו אנשים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</w:t>
      </w:r>
      <w:r>
        <w:rPr>
          <w:rFonts w:ascii="Arial" w:hAnsi="Arial" w:cs="Arial"/>
          <w:rtl w:val="true"/>
        </w:rPr>
        <w:t xml:space="preserve"> הכדורים שירה חדר דרך חלון חדר </w:t>
      </w:r>
      <w:r>
        <w:rPr>
          <w:rFonts w:ascii="Arial" w:hAnsi="Arial" w:cs="Arial"/>
          <w:rtl w:val="true"/>
        </w:rPr>
        <w:t>השינה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ופגע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בארון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בגדים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עת</w:t>
      </w:r>
      <w:r>
        <w:rPr>
          <w:rFonts w:ascii="Arial" w:hAnsi="Arial" w:cs="Arial"/>
          <w:rtl w:val="true"/>
        </w:rPr>
        <w:t xml:space="preserve"> ישנו בחדר השינה אחיותיו הקטינות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ישנו בבית המתלונן אמו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אחותו הקטינה 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ואחיו הקטין מ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>למשמע הירי האחיות התעוררו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הזעיקו את המתלונן וסיפרו כי הנאשם ביצע את הירי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</w:t>
      </w:r>
      <w:r>
        <w:rPr>
          <w:rFonts w:ascii="Arial" w:hAnsi="Arial" w:cs="Arial"/>
          <w:rtl w:val="true"/>
        </w:rPr>
        <w:t xml:space="preserve"> יצא לרחוב והחל לשבור באמצעות </w:t>
      </w:r>
      <w:r>
        <w:rPr>
          <w:rFonts w:ascii="Arial" w:hAnsi="Arial" w:cs="Arial"/>
          <w:rtl w:val="true"/>
        </w:rPr>
        <w:t>כיסא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שמשות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טנדר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טיוטה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שבשימוש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משפחת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שחנה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מיהר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לצאת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והחל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להיאבק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נוספים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יצאו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מבתיהם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לרחוב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הקטינים בני משפחת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זה יצא גם הנאשם ל</w:t>
      </w:r>
      <w:r>
        <w:rPr>
          <w:rFonts w:ascii="Arial" w:hAnsi="Arial" w:cs="Arial"/>
          <w:rtl w:val="true"/>
        </w:rPr>
        <w:t>רחוב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כשהוא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נושא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האקדח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הטעון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וכיוון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המתלונן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מטווח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מטרים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ספורים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ודודו של הנאשם אחזו בו וניסו להרחיק אותו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</w:t>
      </w:r>
      <w:r>
        <w:rPr>
          <w:rFonts w:ascii="Arial" w:hAnsi="Arial" w:cs="Arial"/>
          <w:rtl w:val="true"/>
        </w:rPr>
        <w:t xml:space="preserve"> לרחוב וירה באקדח באופן שסיכן חיי הנוכחים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בסוף</w:t>
      </w:r>
      <w:r>
        <w:rPr>
          <w:rFonts w:ascii="Arial" w:hAnsi="Arial" w:cs="Arial"/>
          <w:rtl w:val="true"/>
        </w:rPr>
        <w:t xml:space="preserve"> אביו נטל ממנו את האקדח ונסע מהמקום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המאשימה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שלחובת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שהוא 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קודמות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גין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חבלה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חמורה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בנסיבות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מחמירות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וכן בגין החזקת סכין וחבלה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שכנגד הנאשם תלוי ועומד </w:t>
      </w:r>
      <w:r>
        <w:rPr>
          <w:rFonts w:ascii="Arial" w:hAnsi="Arial" w:cs="Arial"/>
          <w:rtl w:val="true"/>
        </w:rPr>
        <w:t xml:space="preserve">עונש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מותנה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הפעלה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שהמאשימה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להפעיל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טענה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לראות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בהשתלשלות</w:t>
      </w:r>
      <w:r>
        <w:rPr>
          <w:rFonts w:ascii="Arial" w:hAnsi="Arial" w:cs="Arial"/>
          <w:rtl w:val="true"/>
        </w:rPr>
        <w:t xml:space="preserve"> האירועים שמתוארת בכתב האישום </w:t>
      </w:r>
      <w:r>
        <w:rPr>
          <w:rFonts w:ascii="Arial" w:hAnsi="Arial" w:cs="Arial"/>
          <w:rtl w:val="true"/>
        </w:rPr>
        <w:t>אירוע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בגינו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לקבוע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שנפגע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הערך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החברתי</w:t>
      </w:r>
      <w:r>
        <w:rPr>
          <w:rFonts w:ascii="Arial" w:hAnsi="Arial" w:cs="Arial"/>
          <w:rtl w:val="true"/>
        </w:rPr>
        <w:t xml:space="preserve"> המוגן של שמירה על שלום הציבור וביטחונו והגנה על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שהנאשם </w:t>
      </w:r>
      <w:r>
        <w:rPr>
          <w:rFonts w:ascii="Arial" w:hAnsi="Arial" w:cs="Arial"/>
          <w:rtl w:val="true"/>
        </w:rPr>
        <w:t>החזיק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ובתחמושת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לאורך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ארוכה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ascii="Arial" w:hAnsi="Arial" w:cs="Arial"/>
          <w:rtl w:val="true"/>
        </w:rPr>
        <w:t xml:space="preserve"> לפני השימוש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רקע הסכסוך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שהיות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אחד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הקליעים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פגע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שבקלות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רבה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יכולה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הייתה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להיגרם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פגיעה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בנפש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במקרה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צוינה</w:t>
      </w:r>
      <w:r>
        <w:rPr>
          <w:rFonts w:ascii="Arial" w:hAnsi="Arial" w:cs="Arial"/>
          <w:rtl w:val="true"/>
        </w:rPr>
        <w:t xml:space="preserve"> חומרת עבירות הנשק שהתרבו בשנים אחרונות והסיכון הגלום בה</w:t>
      </w:r>
      <w:r>
        <w:rPr>
          <w:rFonts w:ascii="Arial" w:hAnsi="Arial" w:cs="Arial"/>
          <w:rtl w:val="true"/>
        </w:rPr>
        <w:t>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 xml:space="preserve">נטען עוד שתופעת החזקת הנשק הבלתי חוקי הפכה למכת מדינה של ממש </w:t>
      </w:r>
      <w:r>
        <w:rPr>
          <w:rFonts w:cs="Arial" w:ascii="Arial" w:hAnsi="Arial"/>
          <w:rtl w:val="true"/>
        </w:rPr>
        <w:t>(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6383/21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עידן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כרייף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13.2.22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לנסיבות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הקשורות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תקופת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ההחזקה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הארוכה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יחסית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לפחות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אשר </w:t>
      </w:r>
      <w:r>
        <w:rPr>
          <w:rFonts w:ascii="Arial" w:hAnsi="Arial" w:cs="Arial"/>
          <w:rtl w:val="true"/>
        </w:rPr>
        <w:t>יזם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האירוע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והחל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המתלוננים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מבלי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שעשו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השתמש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פעמיים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שמלמד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אדישותו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המוחלטת</w:t>
      </w:r>
      <w:r>
        <w:rPr>
          <w:rFonts w:ascii="Arial" w:hAnsi="Arial" w:cs="Arial"/>
          <w:rtl w:val="true"/>
        </w:rPr>
        <w:t xml:space="preserve"> לאפשרות </w:t>
      </w:r>
      <w:r>
        <w:rPr>
          <w:rFonts w:ascii="Arial" w:hAnsi="Arial" w:cs="Arial"/>
          <w:rtl w:val="true"/>
        </w:rPr>
        <w:t>לפגיעה</w:t>
      </w:r>
      <w:r>
        <w:rPr>
          <w:rFonts w:ascii="Arial" w:hAnsi="Arial" w:cs="Arial"/>
          <w:rtl w:val="true"/>
        </w:rPr>
        <w:t xml:space="preserve"> במתלוננים והרצון להטיל עליהם </w:t>
      </w:r>
      <w:r>
        <w:rPr>
          <w:rFonts w:ascii="Arial" w:hAnsi="Arial" w:cs="Arial"/>
          <w:rtl w:val="true"/>
        </w:rPr>
        <w:t>אימ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צוינה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העובדה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במהלך האירוע </w:t>
      </w:r>
      <w:r>
        <w:rPr>
          <w:rFonts w:ascii="Arial" w:hAnsi="Arial" w:cs="Arial"/>
          <w:rtl w:val="true"/>
        </w:rPr>
        <w:t>נורו</w:t>
      </w:r>
      <w:r>
        <w:rPr>
          <w:rFonts w:ascii="Arial" w:hAnsi="Arial" w:cs="Arial"/>
          <w:rtl w:val="true"/>
        </w:rPr>
        <w:t xml:space="preserve"> לפחות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על ידו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הפנתה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להנחיית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פרקליט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פסק</w:t>
      </w:r>
      <w:r>
        <w:rPr>
          <w:rFonts w:ascii="Arial" w:hAnsi="Arial" w:cs="Arial"/>
          <w:rtl w:val="true"/>
        </w:rPr>
        <w:t xml:space="preserve"> דין בעניין</w:t>
      </w:r>
      <w:r>
        <w:rPr>
          <w:rFonts w:ascii="Arial" w:hAnsi="Arial" w:cs="Arial"/>
          <w:b/>
          <w:b/>
          <w:bCs/>
          <w:rtl w:val="true"/>
        </w:rPr>
        <w:t xml:space="preserve"> פלוני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קבע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העליון כי מתחם העונש ההולם לעבירה של נשיאת אקדח הינו בין </w:t>
      </w:r>
      <w:r>
        <w:rPr>
          <w:rFonts w:cs="Arial" w:ascii="Arial" w:hAnsi="Arial"/>
        </w:rPr>
        <w:t>30-42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מבחינת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אוזכרו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המקרים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3877/16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פאדי</w:t>
      </w:r>
      <w:r>
        <w:rPr>
          <w:rFonts w:ascii="Arial" w:hAnsi="Arial" w:cs="Arial"/>
          <w:b/>
          <w:b/>
          <w:bCs/>
          <w:rtl w:val="true"/>
        </w:rPr>
        <w:t xml:space="preserve">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באלי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17.11.16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בנשיאת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נשא א</w:t>
      </w:r>
      <w:r>
        <w:rPr>
          <w:rFonts w:ascii="Arial" w:hAnsi="Arial" w:cs="Arial"/>
          <w:rtl w:val="true"/>
        </w:rPr>
        <w:t>יתו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אקדח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גלוק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טעון</w:t>
      </w:r>
      <w:r>
        <w:rPr>
          <w:rFonts w:ascii="Arial" w:hAnsi="Arial" w:cs="Arial"/>
          <w:rtl w:val="true"/>
        </w:rPr>
        <w:t xml:space="preserve"> במחסנית שהכילה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לשם ישוב סכסוך בין קרוב משפחה שלו לאדם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למערער היה עבר פלילי מכביד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כשבסופו של דבר לא נעשה שימוש בנזק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הערכאה </w:t>
      </w:r>
      <w:r>
        <w:rPr>
          <w:rFonts w:ascii="Arial" w:hAnsi="Arial" w:cs="Arial"/>
          <w:rtl w:val="true"/>
        </w:rPr>
        <w:t>הדיונית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קבעה</w:t>
      </w:r>
      <w:r>
        <w:rPr>
          <w:rFonts w:ascii="Arial" w:hAnsi="Arial" w:cs="Arial"/>
          <w:rtl w:val="true"/>
        </w:rPr>
        <w:t xml:space="preserve"> מתחם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24-48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והשיתה על המערער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על חומרת העונש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5993/21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חוסיין אבו סאלח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ישראל </w:t>
      </w:r>
      <w:r>
        <w:rPr>
          <w:rFonts w:cs="Arial" w:ascii="Arial" w:hAnsi="Arial"/>
          <w:rtl w:val="true"/>
        </w:rPr>
        <w:t>(‏</w:t>
      </w:r>
      <w:r>
        <w:rPr>
          <w:rFonts w:cs="Arial" w:ascii="Arial" w:hAnsi="Arial"/>
        </w:rPr>
        <w:t>29.11.2021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כל אחד משני נאשמים היה מצויד בתת מקלע ו</w:t>
      </w:r>
      <w:r>
        <w:rPr>
          <w:rFonts w:ascii="Arial" w:hAnsi="Arial" w:cs="Arial"/>
          <w:rtl w:val="true"/>
        </w:rPr>
        <w:t xml:space="preserve">השניים </w:t>
      </w:r>
      <w:r>
        <w:rPr>
          <w:rFonts w:ascii="Arial" w:hAnsi="Arial" w:cs="Arial"/>
          <w:rtl w:val="true"/>
        </w:rPr>
        <w:t>ירו לעבר רכבים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מגורים ואנשים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זירות שונות</w:t>
      </w:r>
      <w:r>
        <w:rPr>
          <w:rFonts w:ascii="Arial" w:hAnsi="Arial" w:cs="Arial"/>
          <w:rtl w:val="true"/>
        </w:rPr>
        <w:t xml:space="preserve"> כמות </w:t>
      </w:r>
      <w:r>
        <w:rPr>
          <w:rFonts w:ascii="Arial" w:hAnsi="Arial" w:cs="Arial"/>
          <w:rtl w:val="true"/>
        </w:rPr>
        <w:t xml:space="preserve">כוללת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הורשעו בנשיאת נשק וירי מנשק חם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נמלטו משוטרים שניסו לעצרם וניסו למלט את הכלי ובתוכו כלי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42-66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והושת עונש של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שהוגש על חומרת העונש שהוטל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1509/20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ראפאת נבארי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2.7.20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הנאשם נשא תת מקלע מסוג קרלו וירה שני כדורים ברח</w:t>
      </w:r>
      <w:r>
        <w:rPr>
          <w:rFonts w:ascii="Arial" w:hAnsi="Arial" w:cs="Arial"/>
          <w:rtl w:val="true"/>
        </w:rPr>
        <w:t>וב</w:t>
      </w:r>
      <w:r>
        <w:rPr>
          <w:rFonts w:ascii="Arial" w:hAnsi="Arial" w:cs="Arial"/>
          <w:rtl w:val="true"/>
        </w:rPr>
        <w:t xml:space="preserve"> בעיר לוד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בנשיאת נשק וירי מנשק חם באזור מגורים ונידון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שהוגש על קולת העונש התקבל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ועונשו </w:t>
      </w:r>
      <w:r>
        <w:rPr>
          <w:rFonts w:ascii="Arial" w:hAnsi="Arial" w:cs="Arial"/>
          <w:rtl w:val="true"/>
        </w:rPr>
        <w:t>הוחמר בערעור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5522/20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נזאר חלייחל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24.2.21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באותו</w:t>
      </w:r>
      <w:r>
        <w:rPr>
          <w:rFonts w:ascii="Arial" w:hAnsi="Arial" w:cs="Arial"/>
          <w:rtl w:val="true"/>
        </w:rPr>
        <w:t xml:space="preserve"> המקרה </w:t>
      </w:r>
      <w:r>
        <w:rPr>
          <w:rFonts w:ascii="Arial" w:hAnsi="Arial" w:cs="Arial"/>
          <w:rtl w:val="true"/>
        </w:rPr>
        <w:t>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שניים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נסעו ברחבי הכפר עכ</w:t>
      </w:r>
      <w:r>
        <w:rPr>
          <w:rFonts w:ascii="Arial" w:hAnsi="Arial" w:cs="Arial"/>
          <w:rtl w:val="true"/>
        </w:rPr>
        <w:t>ברה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בשלב מסוים עצרו בפאתי הכפר </w:t>
      </w:r>
      <w:r>
        <w:rPr>
          <w:rFonts w:ascii="Arial" w:hAnsi="Arial" w:cs="Arial"/>
          <w:rtl w:val="true"/>
        </w:rPr>
        <w:t>וירו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נסעו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למסגד</w:t>
      </w:r>
      <w:r>
        <w:rPr>
          <w:rFonts w:ascii="Arial" w:hAnsi="Arial" w:cs="Arial"/>
          <w:rtl w:val="true"/>
        </w:rPr>
        <w:t xml:space="preserve"> בכפר וביצעו ירי נוסף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הורשע בנשיאת נשק ללא עבירת 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בערכאה</w:t>
      </w:r>
      <w:r>
        <w:rPr>
          <w:rFonts w:ascii="Arial" w:hAnsi="Arial" w:cs="Arial"/>
          <w:rtl w:val="true"/>
        </w:rPr>
        <w:t xml:space="preserve"> הדיונית </w:t>
      </w:r>
      <w:r>
        <w:rPr>
          <w:rFonts w:ascii="Arial" w:hAnsi="Arial" w:cs="Arial"/>
          <w:rtl w:val="true"/>
        </w:rPr>
        <w:t>נקבע</w:t>
      </w:r>
      <w:r>
        <w:rPr>
          <w:rFonts w:ascii="Arial" w:hAnsi="Arial" w:cs="Arial"/>
          <w:rtl w:val="true"/>
        </w:rPr>
        <w:t xml:space="preserve"> מתחם עונש הולם הנע בין </w:t>
      </w:r>
      <w:r>
        <w:rPr>
          <w:rFonts w:cs="Arial" w:ascii="Arial" w:hAnsi="Arial"/>
        </w:rPr>
        <w:t>24-48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והמערער </w:t>
      </w:r>
      <w:r>
        <w:rPr>
          <w:rFonts w:ascii="Arial" w:hAnsi="Arial" w:cs="Arial"/>
          <w:rtl w:val="true"/>
        </w:rPr>
        <w:t>ונידון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שהוגש על חומרת העונש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2602/23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די </w:t>
      </w:r>
      <w:r>
        <w:rPr>
          <w:rFonts w:ascii="Arial" w:hAnsi="Arial" w:cs="Arial"/>
          <w:b/>
          <w:b/>
          <w:bCs/>
          <w:rtl w:val="true"/>
        </w:rPr>
        <w:t>אבו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ואדי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7.12.23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מערער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 xml:space="preserve">אדם </w:t>
      </w:r>
      <w:r>
        <w:rPr>
          <w:rFonts w:ascii="Arial" w:hAnsi="Arial" w:cs="Arial"/>
          <w:rtl w:val="true"/>
        </w:rPr>
        <w:t>אחר החזיקו תת מקלע והתעמתו עם שכניו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ירה מספר כדורים באוויר ולאחר מכן </w:t>
      </w:r>
      <w:r>
        <w:rPr>
          <w:rFonts w:ascii="Arial" w:hAnsi="Arial" w:cs="Arial"/>
          <w:rtl w:val="true"/>
        </w:rPr>
        <w:t xml:space="preserve">האדם האחר ירה </w:t>
      </w:r>
      <w:r>
        <w:rPr>
          <w:rFonts w:ascii="Arial" w:hAnsi="Arial" w:cs="Arial"/>
          <w:rtl w:val="true"/>
        </w:rPr>
        <w:t xml:space="preserve">מספר יריות לעבר המתלוננים מהם נפגע אחד </w:t>
      </w:r>
      <w:r>
        <w:rPr>
          <w:rFonts w:ascii="Arial" w:hAnsi="Arial" w:cs="Arial"/>
          <w:rtl w:val="true"/>
        </w:rPr>
        <w:t>מהם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באוזנו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מערער</w:t>
      </w:r>
      <w:r>
        <w:rPr>
          <w:rFonts w:ascii="Arial" w:hAnsi="Arial" w:cs="Arial"/>
          <w:rtl w:val="true"/>
        </w:rPr>
        <w:t xml:space="preserve"> הורשע בעבירות של החזקת נשק וירי מנשק חם 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4-6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ונגזרו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מאסר</w:t>
      </w:r>
      <w:r>
        <w:rPr>
          <w:rFonts w:ascii="Arial" w:hAnsi="Arial" w:cs="Arial"/>
          <w:rtl w:val="true"/>
        </w:rPr>
        <w:t xml:space="preserve"> בפועל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הערעור שהוגש על חומרת העונש נדחה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8322/21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מוחמד </w:t>
      </w:r>
      <w:r>
        <w:rPr>
          <w:rFonts w:ascii="Arial" w:hAnsi="Arial" w:cs="Arial"/>
          <w:b/>
          <w:b/>
          <w:bCs/>
          <w:rtl w:val="true"/>
        </w:rPr>
        <w:t>דחלה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13.4.22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דובר במערער ש</w:t>
      </w:r>
      <w:r>
        <w:rPr>
          <w:rFonts w:ascii="Arial" w:hAnsi="Arial" w:cs="Arial"/>
          <w:rtl w:val="true"/>
        </w:rPr>
        <w:t>הורשע בעבירות של נשיאת נשק וירי מנשק חם באזור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</w:t>
      </w:r>
      <w:r>
        <w:rPr>
          <w:rFonts w:ascii="Arial" w:hAnsi="Arial" w:cs="Arial"/>
          <w:rtl w:val="true"/>
        </w:rPr>
        <w:t xml:space="preserve"> נשא אקדח וירה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בסמוך לבית משפחה עמה הוא היה מסוכסך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וח</w:t>
      </w:r>
      <w:r>
        <w:rPr>
          <w:rFonts w:ascii="Arial" w:hAnsi="Arial" w:cs="Arial"/>
          <w:rtl w:val="true"/>
        </w:rPr>
        <w:t xml:space="preserve"> משטרתי זיהה את הירי ורדף אחריו והוא נמלט וזרק את האקדח בשיחים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ניהול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הוכחות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34-54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המערער </w:t>
      </w:r>
      <w:r>
        <w:rPr>
          <w:rFonts w:ascii="Arial" w:hAnsi="Arial" w:cs="Arial"/>
          <w:rtl w:val="true"/>
        </w:rPr>
        <w:t>נגזרו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הכרעת הדין וחומרת גזר דין </w:t>
      </w:r>
      <w:r>
        <w:rPr>
          <w:rFonts w:ascii="Arial" w:hAnsi="Arial" w:cs="Arial"/>
          <w:rtl w:val="true"/>
        </w:rPr>
        <w:t>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מבחינת</w:t>
      </w:r>
      <w:r>
        <w:rPr>
          <w:rFonts w:ascii="Arial" w:hAnsi="Arial" w:cs="Arial"/>
          <w:rtl w:val="true"/>
        </w:rPr>
        <w:t xml:space="preserve"> נסיבות שאינן קשורות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צוין שהנאשם הודה בכתב אישום מתוקן </w:t>
      </w:r>
      <w:r>
        <w:rPr>
          <w:rFonts w:ascii="Arial" w:hAnsi="Arial" w:cs="Arial"/>
          <w:rtl w:val="true"/>
        </w:rPr>
        <w:t>רק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</w:t>
      </w:r>
      <w:r>
        <w:rPr>
          <w:rFonts w:ascii="Arial" w:hAnsi="Arial" w:cs="Arial"/>
          <w:rtl w:val="true"/>
        </w:rPr>
        <w:t xml:space="preserve"> שהתקיימו מספר ישיבות הוכחות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שאומנם נחסך זמן שיפוטי אך לא מדובר בחיסכון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שהנאשם הבין היטב את מעשיו ואת השלכותיהם ואינו קרוב לשום סייג לאחריות פלילית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צוין שקיים עונש מזערי בגין העבירה של </w:t>
      </w:r>
      <w:r>
        <w:rPr>
          <w:rFonts w:ascii="Arial" w:hAnsi="Arial" w:cs="Arial"/>
          <w:rtl w:val="true"/>
        </w:rPr>
        <w:t>רבע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המירבי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ביקשה לקבוע במקרה זה מתחם ענישה הולם </w:t>
      </w:r>
      <w:r>
        <w:rPr>
          <w:rFonts w:ascii="Arial" w:hAnsi="Arial" w:cs="Arial"/>
          <w:rtl w:val="true"/>
        </w:rPr>
        <w:t xml:space="preserve">הנע </w:t>
      </w:r>
      <w:r>
        <w:rPr>
          <w:rFonts w:ascii="Arial" w:hAnsi="Arial" w:cs="Arial"/>
          <w:rtl w:val="true"/>
        </w:rPr>
        <w:t>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4-6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בשים לב להודאת הנאשם ולניהול חלקי של התיק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הפלילי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נתבקש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למקם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באמצע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ולהפעיל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המותנה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במצטבר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כי עונש ה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על תנאי </w:t>
      </w:r>
      <w:r>
        <w:rPr>
          <w:rFonts w:ascii="Arial" w:hAnsi="Arial" w:cs="Arial"/>
          <w:rtl w:val="true"/>
        </w:rPr>
        <w:t xml:space="preserve">הינו </w:t>
      </w:r>
      <w:r>
        <w:rPr>
          <w:rFonts w:ascii="Arial" w:hAnsi="Arial" w:cs="Arial"/>
          <w:rtl w:val="true"/>
        </w:rPr>
        <w:t>בר</w:t>
      </w:r>
      <w:r>
        <w:rPr>
          <w:rFonts w:ascii="Arial" w:hAnsi="Arial" w:cs="Arial"/>
          <w:rtl w:val="true"/>
        </w:rPr>
        <w:t xml:space="preserve"> הפעלה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לאור העובדה שהעונש הוטל בשנת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והנאשם נידון למאסר בפועל כאשר </w:t>
      </w:r>
      <w:r>
        <w:rPr>
          <w:rFonts w:ascii="Arial" w:hAnsi="Arial" w:cs="Arial"/>
          <w:rtl w:val="true"/>
        </w:rPr>
        <w:t>עולה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יחול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שחרורו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שמצב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נובע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מניסוח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החוק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והשכל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שקובע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שמניין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יחול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נמצא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בכלא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בפתח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דבריו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הדגיש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הסנגור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מקושי</w:t>
      </w:r>
      <w:r>
        <w:rPr>
          <w:rFonts w:ascii="Arial" w:hAnsi="Arial" w:cs="Arial"/>
          <w:rtl w:val="true"/>
        </w:rPr>
        <w:t xml:space="preserve"> ראייתי שעלה בתיק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שאליו נחשף בית המשפט במהלך הדיון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צוין שהנאשם </w:t>
      </w:r>
      <w:r>
        <w:rPr>
          <w:rFonts w:ascii="Arial" w:hAnsi="Arial" w:cs="Arial"/>
          <w:rtl w:val="true"/>
        </w:rPr>
        <w:t>שוהה</w:t>
      </w:r>
      <w:r>
        <w:rPr>
          <w:rFonts w:ascii="Arial" w:hAnsi="Arial" w:cs="Arial"/>
          <w:rtl w:val="true"/>
        </w:rPr>
        <w:t xml:space="preserve"> במעצר </w:t>
      </w:r>
      <w:r>
        <w:rPr>
          <w:rFonts w:ascii="Arial" w:hAnsi="Arial" w:cs="Arial"/>
          <w:rtl w:val="true"/>
        </w:rPr>
        <w:t>כמעט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שיש להסתפק בתקופת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לפי הטענה </w:t>
      </w:r>
      <w:r>
        <w:rPr>
          <w:rFonts w:ascii="Arial" w:hAnsi="Arial" w:cs="Arial"/>
          <w:rtl w:val="true"/>
        </w:rPr>
        <w:t>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עומדת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במבחן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בטווח</w:t>
      </w:r>
      <w:r>
        <w:rPr>
          <w:rFonts w:ascii="Arial" w:hAnsi="Arial" w:cs="Arial"/>
          <w:rtl w:val="true"/>
        </w:rPr>
        <w:t xml:space="preserve"> הנמוך של מנעד הענישה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שגם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המתלוננים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התנהלו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באופן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מפר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הסנגור הודה שמעשיו של הנאשם חמורים יותר ממעשי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נטען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התיק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נגד המתלונן נסגר </w:t>
      </w:r>
      <w:r>
        <w:rPr>
          <w:rFonts w:ascii="Arial" w:hAnsi="Arial" w:cs="Arial"/>
          <w:rtl w:val="true"/>
        </w:rPr>
        <w:t>ולא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הוגש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המתלונן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לשבור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שמשות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הרכב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ששייך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למשפחת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חזר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הקושי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הראייתי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שעלה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בדיון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שגם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הודתה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שההסדר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נבע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</w:t>
      </w:r>
      <w:r>
        <w:rPr>
          <w:rFonts w:ascii="Arial" w:hAnsi="Arial" w:cs="Arial"/>
          <w:rtl w:val="true"/>
        </w:rPr>
        <w:t xml:space="preserve"> הפחות </w:t>
      </w:r>
      <w:r>
        <w:rPr>
          <w:rFonts w:ascii="Arial" w:hAnsi="Arial" w:cs="Arial"/>
          <w:rtl w:val="true"/>
        </w:rPr>
        <w:t>באופן חלקי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מאותם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קשיים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 ש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הצליחה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להצביע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נסיבות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נוספות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לכריתת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ההסדר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שמצב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הביא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לתיקון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משמעותי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שתחילה</w:t>
      </w:r>
      <w:r>
        <w:rPr>
          <w:rFonts w:ascii="Arial" w:hAnsi="Arial" w:cs="Arial"/>
          <w:rtl w:val="true"/>
        </w:rPr>
        <w:t xml:space="preserve"> כלל עבירה חמורה יותר של חבלה </w:t>
      </w:r>
      <w:r>
        <w:rPr>
          <w:rFonts w:ascii="Arial" w:hAnsi="Arial" w:cs="Arial"/>
          <w:rtl w:val="true"/>
        </w:rPr>
        <w:t>בכוונה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מחמירה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שנמחקה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שבמצב</w:t>
      </w:r>
      <w:r>
        <w:rPr>
          <w:rFonts w:ascii="Arial" w:hAnsi="Arial" w:cs="Arial"/>
          <w:rtl w:val="true"/>
        </w:rPr>
        <w:t xml:space="preserve"> דברים זה יש לראות את הנאשם כמי שהודה בהזדמנות הראשונה בכתב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מדובר בתיקון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שהעמדה העונשית של המאשימה לא מביאה בחשבון בצורה מאוזנת מספיק את התיקון האמור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הודגש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הנוכחי בו הודה הנאשם לא </w:t>
      </w:r>
      <w:r>
        <w:rPr>
          <w:rFonts w:ascii="Arial" w:hAnsi="Arial" w:cs="Arial"/>
          <w:rtl w:val="true"/>
        </w:rPr>
        <w:t>יוחסה לו</w:t>
      </w:r>
      <w:r>
        <w:rPr>
          <w:rFonts w:ascii="Arial" w:hAnsi="Arial" w:cs="Arial"/>
          <w:rtl w:val="true"/>
        </w:rPr>
        <w:t xml:space="preserve"> כוונה לפגוע באף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לגבי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המותנה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שגזר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הדין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ינואר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ושהעבירות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הנוכחיות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אירעו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אפריל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שאין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מחלוקת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שמאז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גזר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הדין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ועד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יותר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מותנה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הניסוח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המפורש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שבגזר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הדין</w:t>
      </w:r>
      <w:r>
        <w:rPr>
          <w:rFonts w:ascii="Arial" w:hAnsi="Arial" w:cs="Arial"/>
          <w:rtl w:val="true"/>
        </w:rPr>
        <w:t xml:space="preserve"> הרלוונטי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גזר הדין </w:t>
      </w:r>
      <w:r>
        <w:rPr>
          <w:rFonts w:ascii="Arial" w:hAnsi="Arial" w:cs="Arial"/>
          <w:rtl w:val="true"/>
        </w:rPr>
        <w:t>במקרה</w:t>
      </w:r>
      <w:r>
        <w:rPr>
          <w:rFonts w:ascii="Arial" w:hAnsi="Arial" w:cs="Arial"/>
          <w:rtl w:val="true"/>
        </w:rPr>
        <w:t xml:space="preserve"> דנן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ציין דבר לגבי מועד תחילת המאסר המותנה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יש לפרשו מיום מתן גזר הדין ואילך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המקרים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3671/09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איאד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פדילה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7.1.2010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באותו מקרה יוחסו לנאשם ביצוע ירי מאקדח לעבר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כשסך הכל נורו שתי יריות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כן </w:t>
      </w:r>
      <w:r>
        <w:rPr>
          <w:rFonts w:ascii="Arial" w:hAnsi="Arial" w:cs="Arial"/>
          <w:rtl w:val="true"/>
        </w:rPr>
        <w:t xml:space="preserve">הכאתו </w:t>
      </w:r>
      <w:r>
        <w:rPr>
          <w:rFonts w:ascii="Arial" w:hAnsi="Arial" w:cs="Arial"/>
          <w:rtl w:val="true"/>
        </w:rPr>
        <w:t xml:space="preserve">של המתלונן </w:t>
      </w:r>
      <w:r>
        <w:rPr>
          <w:rFonts w:ascii="Arial" w:hAnsi="Arial" w:cs="Arial"/>
          <w:rtl w:val="true"/>
        </w:rPr>
        <w:t>באגרוף בפנים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הורשע בנשיאת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בנסי</w:t>
      </w:r>
      <w:r>
        <w:rPr>
          <w:rFonts w:ascii="Arial" w:hAnsi="Arial" w:cs="Arial"/>
          <w:rtl w:val="true"/>
        </w:rPr>
        <w:t>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מחמירות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וירי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באזור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נדון</w:t>
      </w:r>
      <w:r>
        <w:rPr>
          <w:rFonts w:ascii="Arial" w:hAnsi="Arial" w:cs="Arial"/>
          <w:rtl w:val="true"/>
        </w:rPr>
        <w:t xml:space="preserve">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שנשקל עברו הפלילי הנקי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הערעור </w:t>
      </w:r>
      <w:r>
        <w:rPr>
          <w:rFonts w:ascii="Arial" w:hAnsi="Arial" w:cs="Arial"/>
          <w:rtl w:val="true"/>
        </w:rPr>
        <w:t xml:space="preserve">שהוגש על הכרעת הדין וחומרת העונש </w:t>
      </w:r>
      <w:r>
        <w:rPr>
          <w:rFonts w:ascii="Arial" w:hAnsi="Arial" w:cs="Arial"/>
          <w:rtl w:val="true"/>
        </w:rPr>
        <w:t>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9830/17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פלאח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חמודה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8.3.2018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הוטלו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בגין </w:t>
      </w:r>
      <w:r>
        <w:rPr>
          <w:rFonts w:ascii="Arial" w:hAnsi="Arial" w:cs="Arial"/>
          <w:rtl w:val="true"/>
        </w:rPr>
        <w:t>נשיאת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וירי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באזור מגורים ואיומים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שהנאשם ביצע ירי לעבר בית משפחת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ניתן תסקיר שלילי והנאשם היה בעל עבר פלילי</w:t>
      </w:r>
      <w:r>
        <w:rPr>
          <w:rFonts w:ascii="Arial" w:hAnsi="Arial" w:cs="Arial"/>
          <w:rtl w:val="true"/>
        </w:rPr>
        <w:t xml:space="preserve"> בעבירת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שהוגש על חומרת העונש </w:t>
      </w:r>
      <w:r>
        <w:rPr>
          <w:rFonts w:ascii="Arial" w:hAnsi="Arial" w:cs="Arial"/>
          <w:rtl w:val="true"/>
        </w:rPr>
        <w:t>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2006/12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קאסם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אסדי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28.11.2011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נדחה ערעור המדינה על קולת העונש בגין מקרה בו הורשע המשיב במסגרת הסדר טיעון בעבירות של נשיאת נשק ותחמושת וירי באזור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נגזרו על המשיב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שבית המשפט </w:t>
      </w:r>
      <w:r>
        <w:rPr>
          <w:rFonts w:ascii="Arial" w:hAnsi="Arial" w:cs="Arial"/>
          <w:rtl w:val="true"/>
        </w:rPr>
        <w:t>התחשב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בדין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שנתן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משקל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לשיקולים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לקולא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נסיבות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אישיות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המשיב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והעובדה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שלקח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אחריות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מעשיו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והעדר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4460/11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אחמד פאיד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28.11.2011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הוטלו על המשיב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בגין עבירות של נשיאת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 ותחמושת וירי באזור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</w:t>
      </w:r>
      <w:r>
        <w:rPr>
          <w:rFonts w:ascii="Arial" w:hAnsi="Arial" w:cs="Arial"/>
          <w:rtl w:val="true"/>
        </w:rPr>
        <w:t xml:space="preserve"> מקרה הצטייד הנאשם במספר כלי נשק ובמועד אחד בחתונה בסמוך לביתו ירה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בשכונת מגורים יחד עם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שהוגש על קולת העונש </w:t>
      </w:r>
      <w:r>
        <w:rPr>
          <w:rFonts w:ascii="Arial" w:hAnsi="Arial" w:cs="Arial"/>
          <w:rtl w:val="true"/>
        </w:rPr>
        <w:t>התקבל והעונש הוחמר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4876/12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מרדכי</w:t>
      </w:r>
      <w:r>
        <w:rPr>
          <w:rFonts w:ascii="Arial" w:hAnsi="Arial" w:cs="Arial"/>
          <w:b/>
          <w:b/>
          <w:bCs/>
          <w:rtl w:val="true"/>
        </w:rPr>
        <w:t xml:space="preserve"> עמר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23.11.2013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בגין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החזקת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ואיומים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וירי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באזור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מגורים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ומעשי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פזיזות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ורשלנות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הוטלו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לריצוי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המקרה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הסכימה להפחית מעונשו של המערער לנוכח הסדר בעניין מסירת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כשהעניין לא הובאה לידיעת הערכאה הדיונית וכן לנוכח 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דיוק מסוים בתיאור עובדות כתב האישום בגזר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הערעור התקבל והעונש הועמד על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</w:t>
      </w:r>
      <w:r>
        <w:rPr>
          <w:rFonts w:ascii="Arial" w:hAnsi="Arial" w:cs="Arial"/>
          <w:rtl w:val="true"/>
        </w:rPr>
        <w:t>סר</w:t>
      </w:r>
      <w:r>
        <w:rPr>
          <w:rFonts w:ascii="Arial" w:hAnsi="Arial" w:cs="Arial"/>
          <w:rtl w:val="true"/>
        </w:rPr>
        <w:t xml:space="preserve">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דברי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צער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עצור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21.6.22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</w:t>
      </w:r>
      <w:r>
        <w:rPr>
          <w:rFonts w:ascii="Arial" w:hAnsi="Arial" w:cs="Arial"/>
          <w:rtl w:val="true"/>
        </w:rPr>
        <w:t xml:space="preserve"> זה </w:t>
      </w:r>
      <w:r>
        <w:rPr>
          <w:rFonts w:ascii="Arial" w:hAnsi="Arial" w:cs="Arial"/>
          <w:rtl w:val="true"/>
        </w:rPr>
        <w:t xml:space="preserve">במעשיו של הנאשם </w:t>
      </w:r>
      <w:r>
        <w:rPr>
          <w:rFonts w:ascii="Arial" w:hAnsi="Arial" w:cs="Arial"/>
          <w:rtl w:val="true"/>
        </w:rPr>
        <w:t>נפגעו הערכים המוגנים של שמירה על שלום הציבור וביטחונו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היות שמדובר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ולנוכח נסיבות המקרה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</w:t>
      </w:r>
      <w:r>
        <w:rPr>
          <w:rFonts w:ascii="Arial" w:hAnsi="Arial" w:cs="Arial"/>
          <w:rtl w:val="true"/>
        </w:rPr>
        <w:t xml:space="preserve"> בפגיעה יחסית חמורה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הוזכרה על ידי המאשימה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להחמיר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שהפכו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למכת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וביתר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שאת</w:t>
      </w:r>
      <w:r>
        <w:rPr>
          <w:rFonts w:ascii="Arial" w:hAnsi="Arial" w:cs="Arial"/>
          <w:rtl w:val="true"/>
        </w:rPr>
        <w:t xml:space="preserve"> במגזר הערבי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לטענות</w:t>
      </w:r>
      <w:r>
        <w:rPr>
          <w:rFonts w:ascii="Arial" w:hAnsi="Arial" w:cs="Arial"/>
          <w:rtl w:val="true"/>
        </w:rPr>
        <w:t xml:space="preserve"> אודות </w:t>
      </w:r>
      <w:r>
        <w:rPr>
          <w:rFonts w:ascii="Arial" w:hAnsi="Arial" w:cs="Arial"/>
          <w:rtl w:val="true"/>
        </w:rPr>
        <w:t>הנסיבות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לכריתת</w:t>
      </w:r>
      <w:r>
        <w:rPr>
          <w:rFonts w:ascii="Arial" w:hAnsi="Arial" w:cs="Arial"/>
          <w:rtl w:val="true"/>
        </w:rPr>
        <w:t xml:space="preserve"> ההסדר </w:t>
      </w:r>
      <w:r>
        <w:rPr>
          <w:rFonts w:ascii="Arial" w:hAnsi="Arial" w:cs="Arial"/>
          <w:rtl w:val="true"/>
        </w:rPr>
        <w:t>והשינוי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לראות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כמי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שהודה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בהזדמנות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הראשונה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וזאת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השינוי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שינוי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סוגי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משקף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מלוא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ההסכמה</w:t>
      </w:r>
      <w:r>
        <w:rPr>
          <w:rFonts w:ascii="Arial" w:hAnsi="Arial" w:cs="Arial"/>
          <w:rtl w:val="true"/>
        </w:rPr>
        <w:t xml:space="preserve"> בין הצדדים ויש לקבוע מתחם ענישה הולם ביחס לעבירות שנמצאות כעת בכתב האישום בלבד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57" w:start="357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מבחינת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הנסיבות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הקשורות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שהוחזק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באופן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חוקי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ארוכה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והאירועים בוצעו על רקע סכסוך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יש לתת משקל שדובר בירי שבוצע לעבר בית משפחת שכניו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בשעת לילה מאוחרת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בשעה בה ישנו בבית בני המשפחה ובניהם קטינים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יש לתת את הדעת לכך שאחד מהקליעים אותו בתוך חדר השינה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 פוטנציאל הנזק במעשי הנאשם היה רב ומשמעותי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לגבי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החלק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שמדובר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באירוע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ספונטני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גם במהלכו פוטנציאל הנזק היה גדול והוא אירע בשל התפתחות האירוע בו החל הנאשם 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נושא באחריות בלעדית לביצוע העבירות והיה צריך לדעת – בייחוד לאור עברו – על הפסול במעשיו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להעיר כי רבים מפסקי הדין שהציגה ההגנה הם ישנים 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ואינם משקפים את המדיניות העדכנית הרווחת בפסיקה של החמרה בענישה בעבירות מתחום הנשק על רקע שכיחותן הרבה וההשלכות ההרסניות שלהן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אמור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מדיניות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הנוהגת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כיום </w:t>
      </w:r>
      <w:r>
        <w:rPr>
          <w:rFonts w:ascii="Arial" w:hAnsi="Arial" w:cs="Arial"/>
          <w:rtl w:val="true"/>
        </w:rPr>
        <w:t>הנני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קובע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30-50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בבחינת הנסיבות שאינן קשורות בביצוע העבירה </w:t>
      </w:r>
      <w:r>
        <w:rPr>
          <w:rFonts w:ascii="Arial" w:hAnsi="Arial" w:cs="Arial"/>
          <w:rtl w:val="true"/>
        </w:rPr>
        <w:t>לטובת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לזקוף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הודאתו</w:t>
      </w:r>
      <w:r>
        <w:rPr>
          <w:rFonts w:ascii="Arial" w:hAnsi="Arial" w:cs="Arial"/>
          <w:rtl w:val="true"/>
        </w:rPr>
        <w:t xml:space="preserve"> המשקפת לקיחת אחריות מצידו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לחומרה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לציין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ובעיקר בתחום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והאלימות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כשהעבירה בוצעה זמן לא רב מאז שחרור של הנאשם מריצוי עונש מאסר קודם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מצטייר שמדובר בנאשם שהופך את השימוש בנשק חם ובאלימות קשה כאמצעי לפתרון סכסוכים ועולה שקיים צורך הממשי בהרתעתו האישית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שהוטל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48143-09-17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לכלל שנקבע בפסיקה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לדחות את טיעוני ההגנה שאין מקום להפעילו</w:t>
      </w:r>
      <w:r>
        <w:rPr>
          <w:rFonts w:cs="Arial" w:ascii="Arial" w:hAnsi="Arial"/>
          <w:rtl w:val="true"/>
        </w:rPr>
        <w:t xml:space="preserve">. </w:t>
      </w:r>
      <w:hyperlink r:id="rId30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52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הקובע כי</w:t>
      </w:r>
      <w:r>
        <w:rPr>
          <w:rFonts w:cs="Arial" w:ascii="Arial" w:hAnsi="Arial"/>
          <w:rtl w:val="true"/>
        </w:rPr>
        <w:t>: "</w:t>
      </w:r>
      <w:r>
        <w:rPr>
          <w:rStyle w:val="default"/>
          <w:rFonts w:ascii="Miriam" w:hAnsi="Miriam" w:cs="Miriam"/>
          <w:color w:val="000000"/>
          <w:rtl w:val="true"/>
        </w:rPr>
        <w:t xml:space="preserve">תקופת התנאי תתחיל ביום מתן גזר הדין </w:t>
      </w:r>
      <w:r>
        <w:rPr>
          <w:rStyle w:val="default"/>
          <w:rFonts w:ascii="Miriam" w:hAnsi="Miriam" w:cs="Miriam"/>
          <w:color w:val="000000"/>
          <w:u w:val="single"/>
          <w:rtl w:val="true"/>
        </w:rPr>
        <w:t xml:space="preserve">ואם הנידון נושא אותו זמן עונש מאסר </w:t>
      </w:r>
      <w:r>
        <w:rPr>
          <w:rStyle w:val="default"/>
          <w:rFonts w:cs="Miriam" w:ascii="Miriam" w:hAnsi="Miriam"/>
          <w:color w:val="000000"/>
          <w:u w:val="single"/>
          <w:rtl w:val="true"/>
        </w:rPr>
        <w:t xml:space="preserve">- </w:t>
      </w:r>
      <w:r>
        <w:rPr>
          <w:rStyle w:val="default"/>
          <w:rFonts w:ascii="Miriam" w:hAnsi="Miriam" w:cs="Miriam"/>
          <w:color w:val="000000"/>
          <w:u w:val="single"/>
          <w:rtl w:val="true"/>
        </w:rPr>
        <w:t>ביום שחרורו מן המאסר</w:t>
      </w:r>
      <w:r>
        <w:rPr>
          <w:rStyle w:val="default"/>
          <w:rFonts w:cs="Miriam" w:ascii="Miriam" w:hAnsi="Miriam"/>
          <w:color w:val="000000"/>
          <w:rtl w:val="true"/>
        </w:rPr>
        <w:t xml:space="preserve">; </w:t>
      </w:r>
      <w:r>
        <w:rPr>
          <w:rStyle w:val="default"/>
          <w:rFonts w:cs="Miriam" w:ascii="Miriam" w:hAnsi="Miriam"/>
          <w:color w:val="000000"/>
          <w:rtl w:val="true"/>
        </w:rPr>
        <w:t>...</w:t>
      </w:r>
      <w:r>
        <w:rPr>
          <w:rStyle w:val="default"/>
          <w:rFonts w:cs="Miriam" w:ascii="Miriam" w:hAnsi="Miriam"/>
          <w:color w:val="000000"/>
          <w:rtl w:val="true"/>
        </w:rPr>
        <w:t xml:space="preserve"> </w:t>
      </w:r>
      <w:r>
        <w:rPr>
          <w:rStyle w:val="default"/>
          <w:rFonts w:ascii="Miriam" w:hAnsi="Miriam" w:cs="Miriam"/>
          <w:color w:val="000000"/>
          <w:rtl w:val="true"/>
        </w:rPr>
        <w:t>והכל כשבית המשפט לא הורה אחרת</w:t>
      </w:r>
      <w:r>
        <w:rPr>
          <w:rFonts w:cs="Arial" w:ascii="Arial" w:hAnsi="Arial"/>
          <w:rtl w:val="true"/>
        </w:rPr>
        <w:t>" [</w:t>
      </w:r>
      <w:r>
        <w:rPr>
          <w:rFonts w:ascii="Arial" w:hAnsi="Arial" w:cs="Arial"/>
          <w:rtl w:val="true"/>
        </w:rPr>
        <w:t>ההדגשה אינה במקור</w:t>
      </w:r>
      <w:r>
        <w:rPr>
          <w:rFonts w:cs="Arial" w:ascii="Arial" w:hAnsi="Arial"/>
          <w:rtl w:val="true"/>
        </w:rPr>
        <w:t xml:space="preserve">]. </w:t>
      </w:r>
      <w:r>
        <w:rPr>
          <w:rFonts w:ascii="Arial" w:hAnsi="Arial" w:cs="Arial"/>
          <w:rtl w:val="true"/>
        </w:rPr>
        <w:t>בשורה ארוכה של פסקי דין נקבע כי יש לפרש את הוראת הסעיף קובעת כי</w:t>
      </w:r>
      <w:r>
        <w:rPr>
          <w:rFonts w:cs="Arial" w:ascii="Arial" w:hAnsi="Arial"/>
          <w:rtl w:val="true"/>
        </w:rPr>
        <w:t>: "</w:t>
      </w:r>
      <w:r>
        <w:rPr>
          <w:rStyle w:val="default"/>
          <w:rFonts w:ascii="Miriam" w:hAnsi="Miriam" w:cs="Miriam"/>
          <w:color w:val="000000"/>
          <w:rtl w:val="true"/>
        </w:rPr>
        <w:t>גם אם נאשם לא שהה במאסר בעת מתן גזר</w:t>
      </w:r>
      <w:r>
        <w:rPr>
          <w:rStyle w:val="default"/>
          <w:rFonts w:cs="Miriam" w:ascii="Miriam" w:hAnsi="Miriam"/>
          <w:color w:val="000000"/>
          <w:rtl w:val="true"/>
        </w:rPr>
        <w:t>-</w:t>
      </w:r>
      <w:r>
        <w:rPr>
          <w:rStyle w:val="default"/>
          <w:rFonts w:ascii="Miriam" w:hAnsi="Miriam" w:cs="Miriam"/>
          <w:color w:val="000000"/>
          <w:rtl w:val="true"/>
        </w:rPr>
        <w:t>הדין</w:t>
      </w:r>
      <w:r>
        <w:rPr>
          <w:rStyle w:val="default"/>
          <w:rFonts w:cs="Miriam" w:ascii="Miriam" w:hAnsi="Miriam"/>
          <w:color w:val="000000"/>
          <w:rtl w:val="true"/>
        </w:rPr>
        <w:t xml:space="preserve">, </w:t>
      </w:r>
      <w:r>
        <w:rPr>
          <w:rStyle w:val="default"/>
          <w:rFonts w:ascii="Miriam" w:hAnsi="Miriam" w:cs="Miriam"/>
          <w:color w:val="000000"/>
          <w:rtl w:val="true"/>
        </w:rPr>
        <w:t>אולם גזר</w:t>
      </w:r>
      <w:r>
        <w:rPr>
          <w:rStyle w:val="default"/>
          <w:rFonts w:cs="Miriam" w:ascii="Miriam" w:hAnsi="Miriam"/>
          <w:color w:val="000000"/>
          <w:rtl w:val="true"/>
        </w:rPr>
        <w:t>-</w:t>
      </w:r>
      <w:r>
        <w:rPr>
          <w:rStyle w:val="default"/>
          <w:rFonts w:ascii="Miriam" w:hAnsi="Miriam" w:cs="Miriam"/>
          <w:color w:val="000000"/>
          <w:rtl w:val="true"/>
        </w:rPr>
        <w:t>דינו כלל עונש מאסר על</w:t>
      </w:r>
      <w:r>
        <w:rPr>
          <w:rStyle w:val="default"/>
          <w:rFonts w:cs="Miriam" w:ascii="Miriam" w:hAnsi="Miriam"/>
          <w:color w:val="000000"/>
          <w:rtl w:val="true"/>
        </w:rPr>
        <w:t>-</w:t>
      </w:r>
      <w:r>
        <w:rPr>
          <w:rStyle w:val="default"/>
          <w:rFonts w:ascii="Miriam" w:hAnsi="Miriam" w:cs="Miriam"/>
          <w:color w:val="000000"/>
          <w:rtl w:val="true"/>
        </w:rPr>
        <w:t>תנאי לצד עונש של מאסר בפועל</w:t>
      </w:r>
      <w:r>
        <w:rPr>
          <w:rStyle w:val="default"/>
          <w:rFonts w:cs="Miriam" w:ascii="Miriam" w:hAnsi="Miriam"/>
          <w:color w:val="000000"/>
          <w:rtl w:val="true"/>
        </w:rPr>
        <w:t xml:space="preserve">, </w:t>
      </w:r>
      <w:r>
        <w:rPr>
          <w:rStyle w:val="default"/>
          <w:rFonts w:ascii="Miriam" w:hAnsi="Miriam" w:cs="Miriam"/>
          <w:color w:val="000000"/>
          <w:rtl w:val="true"/>
        </w:rPr>
        <w:t>הרי שעניינו ייכלל בגדר החריג</w:t>
      </w:r>
      <w:r>
        <w:rPr>
          <w:rStyle w:val="default"/>
          <w:rFonts w:cs="Miriam" w:ascii="Miriam" w:hAnsi="Miriam"/>
          <w:color w:val="000000"/>
          <w:rtl w:val="true"/>
        </w:rPr>
        <w:t xml:space="preserve">, </w:t>
      </w:r>
      <w:r>
        <w:rPr>
          <w:rStyle w:val="default"/>
          <w:rFonts w:ascii="Miriam" w:hAnsi="Miriam" w:cs="Miriam"/>
          <w:color w:val="000000"/>
          <w:rtl w:val="true"/>
        </w:rPr>
        <w:t>ותקופת התנאי השיפוטית תחל רק עם שחרורו ממאסרו</w:t>
      </w:r>
      <w:r>
        <w:rPr>
          <w:rStyle w:val="default"/>
          <w:rFonts w:cs="Miriam" w:ascii="Miriam" w:hAnsi="Miriam"/>
          <w:color w:val="000000"/>
          <w:rtl w:val="true"/>
        </w:rPr>
        <w:t xml:space="preserve">. </w:t>
      </w:r>
      <w:r>
        <w:rPr>
          <w:rStyle w:val="default"/>
          <w:rFonts w:ascii="Miriam" w:hAnsi="Miriam" w:cs="Miriam"/>
          <w:color w:val="000000"/>
          <w:rtl w:val="true"/>
        </w:rPr>
        <w:t>בהתאם לכך</w:t>
      </w:r>
      <w:r>
        <w:rPr>
          <w:rStyle w:val="default"/>
          <w:rFonts w:cs="Miriam" w:ascii="Miriam" w:hAnsi="Miriam"/>
          <w:color w:val="000000"/>
          <w:rtl w:val="true"/>
        </w:rPr>
        <w:t xml:space="preserve">, </w:t>
      </w:r>
      <w:r>
        <w:rPr>
          <w:rStyle w:val="default"/>
          <w:rFonts w:ascii="Miriam" w:hAnsi="Miriam" w:cs="Miriam"/>
          <w:color w:val="000000"/>
          <w:rtl w:val="true"/>
        </w:rPr>
        <w:t xml:space="preserve">נידון </w:t>
      </w:r>
      <w:r>
        <w:rPr>
          <w:rStyle w:val="default"/>
          <w:rFonts w:cs="Miriam" w:ascii="Miriam" w:hAnsi="Miriam"/>
          <w:color w:val="000000"/>
          <w:rtl w:val="true"/>
        </w:rPr>
        <w:t>"</w:t>
      </w:r>
      <w:r>
        <w:rPr>
          <w:rStyle w:val="default"/>
          <w:rFonts w:ascii="Miriam" w:hAnsi="Miriam" w:cs="Miriam"/>
          <w:color w:val="000000"/>
          <w:rtl w:val="true"/>
        </w:rPr>
        <w:t>הנושא אותו זמן עונש מאסר</w:t>
      </w:r>
      <w:r>
        <w:rPr>
          <w:rStyle w:val="default"/>
          <w:rFonts w:cs="Miriam" w:ascii="Miriam" w:hAnsi="Miriam"/>
          <w:color w:val="000000"/>
          <w:rtl w:val="true"/>
        </w:rPr>
        <w:t xml:space="preserve">" </w:t>
      </w:r>
      <w:r>
        <w:rPr>
          <w:rStyle w:val="default"/>
          <w:rFonts w:ascii="Miriam" w:hAnsi="Miriam" w:cs="Miriam"/>
          <w:color w:val="000000"/>
          <w:rtl w:val="true"/>
        </w:rPr>
        <w:t>הוא גם נאשם שהוטל עליו עונש מאסר</w:t>
      </w:r>
      <w:r>
        <w:rPr>
          <w:rFonts w:cs="Arial" w:ascii="Arial" w:hAnsi="Arial"/>
          <w:rtl w:val="true"/>
        </w:rPr>
        <w:t>." (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7510/00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אליהו במנוקלר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9.5.2002</w:t>
      </w:r>
      <w:r>
        <w:rPr>
          <w:rFonts w:cs="Arial" w:ascii="Arial" w:hAnsi="Arial"/>
          <w:rtl w:val="true"/>
        </w:rPr>
        <w:t xml:space="preserve">);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4180/92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אליהו בן מרדכי נעים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21.03.1994</w:t>
      </w:r>
      <w:r>
        <w:rPr>
          <w:rFonts w:cs="Arial" w:ascii="Arial" w:hAnsi="Arial"/>
          <w:rtl w:val="true"/>
        </w:rPr>
        <w:t>)‏‏</w:t>
      </w:r>
      <w:r>
        <w:rPr>
          <w:rFonts w:cs="Arial" w:ascii="Arial" w:hAnsi="Arial"/>
          <w:rtl w:val="true"/>
        </w:rPr>
        <w:t xml:space="preserve">;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785/22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חאלד דירבאס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9.3.22</w:t>
      </w:r>
      <w:r>
        <w:rPr>
          <w:rFonts w:cs="Arial" w:ascii="Arial" w:hAnsi="Arial"/>
          <w:rtl w:val="true"/>
        </w:rPr>
        <w:t xml:space="preserve">);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58943-09-19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אליאס אשקר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08.02.2022</w:t>
      </w:r>
      <w:r>
        <w:rPr>
          <w:rFonts w:cs="Arial" w:ascii="Arial" w:hAnsi="Arial"/>
          <w:rtl w:val="true"/>
        </w:rPr>
        <w:t>)‏‏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פרשנות זו נועדה להגשים את תחילת הסעיף הנוגעת לשמירת האפקטיביות ההרתעתית של עונש המאסר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לאמור אני קובע כי עונש המאסר על תנאי הוא בר הפעלה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36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האמור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מטיל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57" w:start="714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תנוכה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תקופת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21.6.22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57" w:start="714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עונש המאסר על תנאי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החודשים שהוטל ב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48143-09-17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יופעל מחציתו בחופף ומחציתו במצטבר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כך</w:t>
      </w:r>
      <w:r>
        <w:rPr>
          <w:rFonts w:ascii="Arial" w:hAnsi="Arial" w:cs="Arial"/>
          <w:b/>
          <w:b/>
          <w:bCs/>
          <w:rtl w:val="true"/>
        </w:rPr>
        <w:t xml:space="preserve"> שסך הכל הנאשם ירצה עונש מאסר בפועל של </w:t>
      </w:r>
      <w:r>
        <w:rPr>
          <w:rFonts w:cs="Arial" w:ascii="Arial" w:hAnsi="Arial"/>
          <w:b/>
          <w:bCs/>
        </w:rPr>
        <w:t>46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מאסר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57" w:start="714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שחרורו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יופעל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במידה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יבצע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57" w:start="714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פיצוי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למתלונן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לתשלום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31.12.24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Arial" w:hAnsi="Arial" w:cs="Arial"/>
          <w:b/>
          <w:b/>
          <w:bCs/>
          <w:u w:val="single"/>
          <w:rtl w:val="true"/>
        </w:rPr>
        <w:t>זכות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ערעור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בתוך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bookmarkStart w:id="10" w:name="Nitan"/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אדר ב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sz w:val="26"/>
          <w:szCs w:val="26"/>
        </w:rPr>
        <w:t>2024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  </w:t>
      </w:r>
      <w:r>
        <w:rPr>
          <w:rFonts w:cs="Arial" w:ascii="Arial" w:hAnsi="Arial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22913-07-22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גאזי עמאש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numFmt w:val="bullet"/>
      <w:lvlText w:val="-"/>
      <w:lvlJc w:val="end"/>
      <w:pPr>
        <w:tabs>
          <w:tab w:val="num" w:pos="0"/>
        </w:tabs>
        <w:ind w:start="785" w:hanging="360"/>
      </w:pPr>
      <w:rPr>
        <w:rFonts w:ascii="David" w:hAnsi="David" w:cs="David" w:hint="default"/>
      </w:rPr>
    </w:lvl>
  </w:abstractNum>
  <w:abstractNum w:abstractNumId="3">
    <w:lvl w:ilvl="0">
      <w:start w:val="10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cs="Times New Roman"/>
      <w:color w:val="1F4D7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David" w:hAnsi="David" w:eastAsia="Times New Roman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David" w:hAnsi="David" w:eastAsia="Times New Roman" w:cs="David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3Char">
    <w:name w:val="Heading 3 Char"/>
    <w:qFormat/>
    <w:rPr>
      <w:rFonts w:ascii="Calibri Light" w:hAnsi="Calibri Light" w:eastAsia="Times New Roman" w:cs="Times New Roman"/>
      <w:color w:val="1F4D78"/>
      <w:sz w:val="24"/>
      <w:szCs w:val="24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p00">
    <w:name w:val="p00"/>
    <w:basedOn w:val="Normal"/>
    <w:qFormat/>
    <w:pPr>
      <w:bidi w:val="0"/>
      <w:spacing w:before="280" w:after="280"/>
    </w:pPr>
    <w:rPr>
      <w:rFonts w:cs="Times New Roman"/>
    </w:rPr>
  </w:style>
  <w:style w:type="paragraph" w:styleId="p02">
    <w:name w:val="p02"/>
    <w:basedOn w:val="Normal"/>
    <w:qFormat/>
    <w:pPr>
      <w:bidi w:val="0"/>
      <w:spacing w:before="280" w:after="280"/>
    </w:pPr>
    <w:rPr>
      <w:rFonts w:cs="Times New Roman"/>
    </w:rPr>
  </w:style>
  <w:style w:type="paragraph" w:styleId="p22">
    <w:name w:val="p22"/>
    <w:basedOn w:val="Normal"/>
    <w:qFormat/>
    <w:pPr>
      <w:bidi w:val="0"/>
      <w:spacing w:before="280" w:after="280"/>
    </w:pPr>
    <w:rPr>
      <w:rFonts w:cs="Times New Roman"/>
    </w:rPr>
  </w:style>
  <w:style w:type="paragraph" w:styleId="p33">
    <w:name w:val="p33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2.c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40a.b.1" TargetMode="External"/><Relationship Id="rId8" Type="http://schemas.openxmlformats.org/officeDocument/2006/relationships/hyperlink" Target="http://www.nevo.co.il/law/70301/340a.b.2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0a.b.1" TargetMode="External"/><Relationship Id="rId13" Type="http://schemas.openxmlformats.org/officeDocument/2006/relationships/hyperlink" Target="http://www.nevo.co.il/law/70301/340a.b.2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yperlink" Target="http://www.nevo.co.il/case/7791493" TargetMode="External"/><Relationship Id="rId16" Type="http://schemas.openxmlformats.org/officeDocument/2006/relationships/hyperlink" Target="http://www.nevo.co.il/case/27925239" TargetMode="External"/><Relationship Id="rId17" Type="http://schemas.openxmlformats.org/officeDocument/2006/relationships/hyperlink" Target="http://www.nevo.co.il/case/28883087" TargetMode="External"/><Relationship Id="rId18" Type="http://schemas.openxmlformats.org/officeDocument/2006/relationships/hyperlink" Target="http://www.nevo.co.il/case/21474168" TargetMode="External"/><Relationship Id="rId19" Type="http://schemas.openxmlformats.org/officeDocument/2006/relationships/hyperlink" Target="http://www.nevo.co.il/case/27907602" TargetMode="External"/><Relationship Id="rId20" Type="http://schemas.openxmlformats.org/officeDocument/2006/relationships/hyperlink" Target="http://www.nevo.co.il/case/26492590" TargetMode="External"/><Relationship Id="rId21" Type="http://schemas.openxmlformats.org/officeDocument/2006/relationships/hyperlink" Target="http://www.nevo.co.il/case/26905927" TargetMode="External"/><Relationship Id="rId22" Type="http://schemas.openxmlformats.org/officeDocument/2006/relationships/hyperlink" Target="http://www.nevo.co.il/case/29524767" TargetMode="External"/><Relationship Id="rId23" Type="http://schemas.openxmlformats.org/officeDocument/2006/relationships/hyperlink" Target="http://www.nevo.co.il/case/28152125" TargetMode="External"/><Relationship Id="rId24" Type="http://schemas.openxmlformats.org/officeDocument/2006/relationships/hyperlink" Target="http://www.nevo.co.il/case/5908839" TargetMode="External"/><Relationship Id="rId25" Type="http://schemas.openxmlformats.org/officeDocument/2006/relationships/hyperlink" Target="http://www.nevo.co.il/case/23509035" TargetMode="External"/><Relationship Id="rId26" Type="http://schemas.openxmlformats.org/officeDocument/2006/relationships/hyperlink" Target="http://www.nevo.co.il/case/5578534" TargetMode="External"/><Relationship Id="rId27" Type="http://schemas.openxmlformats.org/officeDocument/2006/relationships/hyperlink" Target="http://www.nevo.co.il/case/5958231" TargetMode="External"/><Relationship Id="rId28" Type="http://schemas.openxmlformats.org/officeDocument/2006/relationships/hyperlink" Target="http://www.nevo.co.il/case/5588206" TargetMode="External"/><Relationship Id="rId29" Type="http://schemas.openxmlformats.org/officeDocument/2006/relationships/hyperlink" Target="http://www.nevo.co.il/case/23007565" TargetMode="External"/><Relationship Id="rId30" Type="http://schemas.openxmlformats.org/officeDocument/2006/relationships/hyperlink" Target="http://www.nevo.co.il/law/70301/52.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689137" TargetMode="External"/><Relationship Id="rId33" Type="http://schemas.openxmlformats.org/officeDocument/2006/relationships/hyperlink" Target="http://www.nevo.co.il/case/17922343" TargetMode="External"/><Relationship Id="rId34" Type="http://schemas.openxmlformats.org/officeDocument/2006/relationships/hyperlink" Target="http://www.nevo.co.il/case/28284213" TargetMode="External"/><Relationship Id="rId35" Type="http://schemas.openxmlformats.org/officeDocument/2006/relationships/hyperlink" Target="http://www.nevo.co.il/case/28318825" TargetMode="External"/><Relationship Id="rId36" Type="http://schemas.openxmlformats.org/officeDocument/2006/relationships/hyperlink" Target="http://www.nevo.co.il/case/23007565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2024-03-17T13:46:00Z</dcterms:created>
  <dc:creator> </dc:creator>
  <dc:description/>
  <cp:keywords/>
  <dc:language>en-IL</dc:language>
  <cp:lastModifiedBy>h1</cp:lastModifiedBy>
  <dcterms:modified xsi:type="dcterms:W3CDTF">2024-03-17T13:46:00Z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גאזי עמאש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7791493;27925239;28883087;21474168;27907602;26492590;26905927;29524767;28152125;5908839;23509035;5578534;5958231;5588206;23007565:2;5689137;17922343;28284213;28318825</vt:lpwstr>
  </property>
  <property fmtid="{D5CDD505-2E9C-101B-9397-08002B2CF9AE}" pid="9" name="CITY">
    <vt:lpwstr>חי'</vt:lpwstr>
  </property>
  <property fmtid="{D5CDD505-2E9C-101B-9397-08002B2CF9AE}" pid="10" name="DATE">
    <vt:lpwstr>20240313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70301/144.a;144.b;340a.b.1;340a.b.2;192;052.c</vt:lpwstr>
  </property>
  <property fmtid="{D5CDD505-2E9C-101B-9397-08002B2CF9AE}" pid="15" name="LAWYER">
    <vt:lpwstr>שלומי בלומנפלד;מירב בר 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22913</vt:lpwstr>
  </property>
  <property fmtid="{D5CDD505-2E9C-101B-9397-08002B2CF9AE}" pid="22" name="NEWPARTB">
    <vt:lpwstr>07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390020240313</vt:lpwstr>
  </property>
  <property fmtid="{D5CDD505-2E9C-101B-9397-08002B2CF9AE}" pid="34" name="TYPE_N_DATE">
    <vt:lpwstr>39020240313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