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81"/>
        <w:gridCol w:w="3124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38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23075-10-23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גראדאת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12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655"/>
        <w:gridCol w:w="5242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מרדכי כדורי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655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24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ליזו וולפוס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אמיר דראושה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65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242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אוסאמה גראדאת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דיא אלדין נאסר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פאדי זועבי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חיים רוט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334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335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)+(, </w:t>
      </w:r>
      <w:hyperlink r:id="rId8"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413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ט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452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u w:val="none"/>
          </w:rPr>
          <w:t>10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  <w:bookmarkStart w:id="8" w:name="ABSTRACT_START"/>
      <w:bookmarkEnd w:id="8"/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הנאשמים הורשעו על פי הודאתם 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ניסיון פציעה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3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334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בנסיבות סעיף </w:t>
      </w:r>
      <w:hyperlink r:id="rId14">
        <w:r>
          <w:rPr>
            <w:rStyle w:val="Hyperlink"/>
            <w:rFonts w:cs="David" w:ascii="David" w:hAnsi="David"/>
            <w:color w:val="0000FF"/>
          </w:rPr>
          <w:t>335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)+(</w:t>
        </w:r>
      </w:hyperlink>
      <w:hyperlink r:id="rId15">
        <w:r>
          <w:rPr>
            <w:rStyle w:val="Hyperlink"/>
            <w:rFonts w:cs="David" w:ascii="David" w:hAnsi="David"/>
            <w:color w:val="0000FF"/>
          </w:rPr>
          <w:t>2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בצירוף סעיף </w:t>
      </w:r>
      <w:hyperlink r:id="rId16">
        <w:r>
          <w:rPr>
            <w:rStyle w:val="Hyperlink"/>
            <w:rFonts w:cs="David" w:ascii="David" w:hAnsi="David"/>
            <w:color w:val="0000FF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b/>
          <w:b/>
          <w:bCs/>
          <w:rtl w:val="true"/>
        </w:rPr>
        <w:t>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היזק בזדון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שינוי זהות של רכב או של חלק של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413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גם בעבירה של </w:t>
      </w:r>
      <w:r>
        <w:rPr>
          <w:rFonts w:ascii="David" w:hAnsi="David"/>
          <w:b/>
          <w:b/>
          <w:bCs/>
          <w:rtl w:val="true"/>
        </w:rPr>
        <w:t>נהיגת רכב מנועי ללא 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10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 הטיעון לא כלל הסכמה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עובדות כתב האישום המתוקן בשלישית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העובדות בהן הנאשמים הודו פורטו בכתב אישום מתוקן בשלישית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שהוגש במסגרת הסדר הטיעון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כתב האישום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על פי עובדות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סאמי גראדאת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דודו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ושכנו וקרוב משפחתו של מחמד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ראדאת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מחמד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רקע סכסוך בין משפחת המתלונן לבינו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החליט להניח בפתח ביתו של המתלונן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מטען שבכוחו להזיק לאדם בעת התפוצצותו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המטען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לצורך כך ועל מנת לתכנן את הנחת המטען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איתר את מיקומו המדויק של הבית מספר שעות לפני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ונסע בסמוך אליו ברכבו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</w:t>
      </w:r>
      <w:r>
        <w:rPr>
          <w:rFonts w:cs="David" w:ascii="David" w:hAnsi="David"/>
        </w:rPr>
        <w:t>77-520-79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29/9/2023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הגיע באמצעות הרכב לביתו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ממנו להביא נייר ארוך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שקית גדולה וכן כפפות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להקשות על זיהוי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 עם הכפפות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הכניסו את המטען לרכב וחיפשו מקום מבודד שלא מותקנות בו מצלמות על מנת לעצור את הרכב ולשפר את המטען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שיפרו את המטען באמצעות חלקי צינור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כבלי חשמל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מסמרים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זיקוקים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חלקי ברזל ומגנט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אותם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הכין מראש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מסר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מצית לצורך הדלקת המטען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הסיר את לוחית הזיהוי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והנאשמים החלו בנסיעה לעבר הבית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דקות בודדות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הגעתם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נשא את המטען והניחו בפתח ביתו של מחמד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שטעה בזיהוי ביתו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 לפתוח את הדלת בטרם הפעלת המטען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מצא אותה נעולה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שהדלת תיפתח בעת פיצוץ המטען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הקיש עליה פעם אחת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 המטען התפוצץ בעוצמה עוד קודם לפתיחת הדלת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כתוצאה מהפיצוץ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נגרמו לביתו של מחמד הנזקים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חלונות דלת הברזל בכניסה לבית נשברו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מסך הטלוויזיה נשבר מפגיעת רססים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ונגרמו נזקי פיח לדלת הברזל ולקיר החיצוני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כפי שהנאשמים סיכמו ביניהם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מנת לאפשר להם להימלט מהמקום עם כניסתו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עבר למושב הנהג בעת שהמתין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הפיצוץ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רץ לעבר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החזיק ברישיון נהיגה תקף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בנסיעה מהירה והשניים נמלטו מהמקום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הראיות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הגישה את גיליון ההרשעות הפליליות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הרשעה קודמת בעבירות מין ושיבוש מהלכי משפט שעבר בשנת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בהיותו קטין כבן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בגינן 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למעון נעול למשך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ולצו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מטעם ההגנה הוגש מסמך רפואי הנוגע לאמו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המפרט שלל אבחנות ותרופות אותן עליה ליטול בקביעות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הוצגו תעודות נכה שלה ושל אביו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העידו אמו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ואביו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לדברי אמו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בעדותה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מסייע בידה ללכת לרופאים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להתקלח וללכת לשירותים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לאם הנאשם עוד שישה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כולם נשואים ונאשם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זה שמרחם עליה ומטפל בה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אביו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 על מחלה ממנה הוא סובל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כך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מטפל בו ומסייע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אב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 שכולם גרים בביתו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טיעוני הצדדים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כי מתחם העונש ההולם למעשיהם של הנאשמים נע בין חמש שנות מאסר בפועל לבין שמונה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וביקשה להטיל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מאסר בפועל למשך חמש שנים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מאסר בפועל למשך חמש שנים ושמונה 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ביקשה המאשימה להורות על 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ששימש לביצוע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ציינה בטיעוניה כי הערכים המוגנים ידועים היטב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המחוקק הורה להחמיר את הענישה על עבירות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בטיעוניה עמדה המאשימה על היקף התכנון ומעשי ההכנה של הנאשמים קודם להנחת המטען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הפעולות שנקטו במטרה שמעשיהם לא יחשפו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 דומיננטי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כמי שסיפק את הציוד שנדרש לצורך שיפור המטען ונהג ברכב בזמן ההימלטות מהמקום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פעלו במטרה לגרום למתלונן 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ויצרו במעשיהם נזק פוטנציאלי גדול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למרבה המזל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למרות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הקיש על הדלת במטרה שהמטען יתפוצץ בעת שהמתלונן יפתח את הדלת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נגרם נזק לאדם או 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לרכוש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זקפה לטובת הנאשמים את הודאתם ואת האחריות שקיבלו על מעשיהם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לטובתו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זקפה גם את עברו הפלילי הנקי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לחובתו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 את עברו 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טענה עוד כי יש צורך בהרתעת היחיד והרבים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 xml:space="preserve">טיעוני נאשם </w:t>
      </w:r>
      <w:r>
        <w:rPr>
          <w:rFonts w:cs="Calibri" w:ascii="Calibri" w:hAnsi="Calibri"/>
          <w:u w:val="single"/>
        </w:rPr>
        <w:t>1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טענה כי מתחם העונש ההולם למעשיו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וביקשה להטיל עליו עונש ברף הנמוך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להימנע מחילוט הרכב ולהימנע מלהטיל 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להסתפק בקנס מינורי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בטיעוניו פירט הסנגור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צעיר כבן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לשלושה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אחד מהם נולד לאחר מעצרו במסגרת הליך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 למעצרו עבד באופן קבוע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פרנס את משפחתו ואת הוריו וטיפל באמו הנכה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הודה וייתר את הצורך בהעדתם של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 התביעה המפורטים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 במעצר במשך כעשרה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לדבריו בתנאי מעצר שנקבעו בעקבות פרוץ מלחמת חרבות ברזל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הכוללים מניעת ביקורים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מעצרו בתנאים אלה מרתיע אותו מלשוב ולעבור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מבטיח לחזור לדרך הישר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הפנה לכך שעל פי עובדות כתב האישום המתוקן מדובר במטען שבכוחו להזיק לאדם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 הפוטנציאלי הטמון במטען מסוג זה דומה לנזק הגלום ברימון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ומטרתו דומה – לגרום לרעש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יש להבחין בין המטען לבין מטען חבלה 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שהסיכון הגלום בו חמור בהרבה ומטרתו 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הסנגור טען כי לא היתה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כוונה לפגוע באדם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הנזק שנגרם בפועל כתוצאה מפיצוץ המטען היה מינורי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כלל נזק לגוף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בדבריו לבית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התנצל על מעשיו והביע עליהם 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מקבל על עצמו אחריות לעבירות שעבר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משולב בטיפול במסגרת מעצרו ובדעתו להמשיך לטפל בעצמו גם לאחר שיסיים לרצות את 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שילדיו לא יעברו עבירות דומות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לדברי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לו בעיית חיים בשל הסביבה בה גדל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לבסוף ביקש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להקל בעונשו ולתת לו הזדמנות לתקן את דרכיו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 xml:space="preserve">טיעוני נאשם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לטענת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למעשיו נע בין עשרה חודשי מאסר בפועל לבין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והעונש המתאים לו מצוי בתחתית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ההגנה ביקשה להימנע מלהטיל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ולחלופין להסתפק בקנס מינורי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שנטען על ידי המאשימה חורג לחומרה מהנחיית פרקליט המדינה מספר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שעניינה מדיניות ענישה בעבירות נשק ומטעני חבלה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 כי חלקו היחסי בביצוע העבירות 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תרומתו למעשי העבירה מצומצמת ומוגבלת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הסנגור ציין 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צעיר כבן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שהודה במיוחס לו בשלב מוקדם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אביו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אמו לא עובדת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לו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 והוא משמש עמוד התווך של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מינורי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התיישן ואינו ממין העניין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התנצל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מי שלא טועה לא לומד מטעויות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הפסיקה עמדה על כך שעבירות הנשק פוגעות בערכים חברתיים רמי 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והשמירה על סדרי חיים תקינים ושלווים שאינם מופרעים על ידי אדם האוחז נשק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בעבירות שהפכו זה מכבר למכת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על החברה להילחם בהן כחלק ממלחמתה הבלתי מתפשרת בנגע של זילות חיי אדם והקלות הבלתי נסבלת של הלחיצה על ההדק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משמשת תשתית למגוון רחב של עבירות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וזמינותו מעודדת את השימוש בו לצורכי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בסיס להנחה כי מי שמחזיק ונושא כלי בו גלום פוטנציאל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פיקוח מטעם רשויות המדינה ומבלי שנבחנו מיומנותו לעשות בו שימוש וכשירותו להחזיק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עושה זאת למטרות לא כשרות </w:t>
      </w:r>
      <w:r>
        <w:rPr>
          <w:rFonts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</w:rPr>
        <w:t>14/2/2021</w:t>
      </w:r>
      <w:r>
        <w:rPr>
          <w:rFonts w:cs="David" w:ascii="David" w:hAnsi="David"/>
          <w:rtl w:val="true"/>
        </w:rPr>
        <w:t xml:space="preserve">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5/11/2019</w:t>
      </w:r>
      <w:r>
        <w:rPr>
          <w:rFonts w:cs="David" w:ascii="David" w:hAnsi="David"/>
          <w:rtl w:val="true"/>
        </w:rPr>
        <w:t xml:space="preserve">;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אדרי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22/2/2007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eastAsia="Calibri" w:cs="Calibri" w:ascii="Calibri" w:hAnsi="Calibri"/>
        </w:rPr>
        <w:t>27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 xml:space="preserve">הצורך להיאבק בעבירות הנשק בדרך של החמרת הענישה עולה גם מהוראת השעה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חוק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העונשין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תיקון 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eastAsia="Calibri" w:cs="Calibri" w:ascii="Calibri" w:hAnsi="Calibri"/>
        </w:rPr>
        <w:t>140</w:t>
      </w:r>
      <w:r>
        <w:rPr>
          <w:rFonts w:eastAsia="Calibri" w:cs="Calibri" w:ascii="Calibri" w:hAnsi="Calibri"/>
          <w:rtl w:val="true"/>
        </w:rPr>
        <w:t xml:space="preserve"> – </w:t>
      </w:r>
      <w:r>
        <w:rPr>
          <w:rFonts w:ascii="Calibri" w:hAnsi="Calibri" w:eastAsia="Calibri" w:cs="Calibri"/>
          <w:rtl w:val="true"/>
        </w:rPr>
        <w:t>הוראת שעה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התשפ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2021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שנכנסה לתוקף ביום </w:t>
      </w:r>
      <w:r>
        <w:rPr>
          <w:rFonts w:eastAsia="Calibri" w:cs="Calibri" w:ascii="Calibri" w:hAnsi="Calibri"/>
        </w:rPr>
        <w:t>8/12/2021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בה נקבע עונש מינימום של רבע מהעונש המרבי במספר עבירות נשק </w:t>
      </w:r>
      <w:r>
        <w:rPr>
          <w:rFonts w:eastAsia="Calibri" w:cs="Calibri" w:ascii="Calibri" w:hAnsi="Calibri"/>
          <w:rtl w:val="true"/>
        </w:rPr>
        <w:t>(</w:t>
      </w:r>
      <w:hyperlink r:id="rId27">
        <w:r>
          <w:rPr>
            <w:rStyle w:val="Hyperlink"/>
            <w:rFonts w:ascii="Calibri" w:hAnsi="Calibri" w:eastAsia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eastAsia="Calibri" w:cs="Calibri" w:ascii="Calibri" w:hAnsi="Calibri"/>
            <w:color w:val="0000FF"/>
          </w:rPr>
          <w:t>144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rtl w:val="true"/>
          </w:rPr>
          <w:t>ז</w:t>
        </w:r>
        <w:r>
          <w:rPr>
            <w:rStyle w:val="Hyperlink"/>
            <w:rFonts w:eastAsia="Calibri" w:cs="Calibri" w:ascii="Calibri" w:hAnsi="Calibri"/>
            <w:color w:val="0000FF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בחוק העונשין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בהיעדר נימוקים מיוחדים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עונש המינימום לעבירה של נשיאת נשק עומד על 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את חלקו בית המשפט רשאי להטיל כעונש מותנה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גם הוא על הצורך בהחמרת הענישה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וקבע כי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Arial"/>
          <w:b/>
          <w:bCs/>
          <w:sz w:val="22"/>
          <w:szCs w:val="22"/>
        </w:rPr>
      </w:pP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עבירות הנשק מצויות על סדר יומו של בית משפט זה דרך שגרה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עובדה זו מהווה השתקפות של תמונת האלימות והפשיעה בנשק הגואה בחברה הישראלית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ובחברה הערבית בפרט</w:t>
      </w:r>
      <w:r>
        <w:rPr>
          <w:rFonts w:eastAsia="Calibri"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eastAsia="Calibri" w:cs="Calibri"/>
          <w:b/>
          <w:b/>
          <w:bCs/>
          <w:rtl w:val="true"/>
        </w:rPr>
        <w:t>של תמונת הקורבנות מעבירות הנשק המציגה גידול מידי שנה</w:t>
      </w:r>
      <w:r>
        <w:rPr>
          <w:rFonts w:eastAsia="Calibri"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eastAsia="Calibri" w:cs="Calibri"/>
          <w:b/>
          <w:b/>
          <w:bCs/>
          <w:rtl w:val="true"/>
        </w:rPr>
        <w:t>ושל רמת האכיפה בכל המתייחס להחזקת נשק לא חוקי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כבר תואר כי המצב הגיע לכדי מצב חירום לאומי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על רקע זה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ניכרת בפסיקה מגמה של הקשחת מדיניות הענישה בעבירות 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תוך מתן משקל מרכזי לשיקול של הרתעת הכלל</w:t>
      </w:r>
      <w:r>
        <w:rPr>
          <w:rFonts w:eastAsia="Calibri" w:cs="Calibri" w:ascii="Calibri" w:hAnsi="Calibri"/>
          <w:b/>
          <w:bCs/>
          <w:rtl w:val="true"/>
        </w:rPr>
        <w:t xml:space="preserve">.... </w:t>
      </w:r>
      <w:r>
        <w:rPr>
          <w:rFonts w:ascii="Calibri" w:hAnsi="Calibri" w:eastAsia="Calibri" w:cs="Calibri"/>
          <w:b/>
          <w:b/>
          <w:bCs/>
          <w:rtl w:val="true"/>
        </w:rPr>
        <w:t>ענישה זו כוללת לרוב עונשי מאסר ממושכים לריצוי בפועל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המושתים גם על נאשמים צעירים נעדרי עבר פלילי</w:t>
      </w:r>
      <w:r>
        <w:rPr>
          <w:rFonts w:eastAsia="Calibri" w:cs="Calibri" w:ascii="Calibri" w:hAnsi="Calibri"/>
          <w:b/>
          <w:bCs/>
          <w:rtl w:val="true"/>
        </w:rPr>
        <w:t>...."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Fonts w:eastAsia="Calibri" w:cs="Calibri" w:ascii="Calibri" w:hAnsi="Calibri"/>
          <w:rtl w:val="true"/>
        </w:rPr>
        <w:t>(</w:t>
      </w:r>
      <w:hyperlink r:id="rId2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7971/23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אגבאריה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26/5/2024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b/>
          <w:b/>
          <w:bCs/>
          <w:rtl w:val="true"/>
        </w:rPr>
        <w:t>עניין אגבאריה</w:t>
      </w:r>
      <w:r>
        <w:rPr>
          <w:rFonts w:eastAsia="Calibri" w:cs="Calibri" w:ascii="Calibri" w:hAnsi="Calibri"/>
          <w:rtl w:val="true"/>
        </w:rPr>
        <w:t>")</w:t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Arial"/>
          <w:b/>
          <w:bCs/>
          <w:sz w:val="22"/>
          <w:szCs w:val="22"/>
        </w:rPr>
      </w:pPr>
      <w:r>
        <w:rPr>
          <w:rFonts w:eastAsia="Calibri"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29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בהתייחס לעבירה של נשיאת נשק קבע בית המשפט העליון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Calibri" w:cs="Calibri" w:ascii="Calibri" w:hAnsi="Calibri"/>
          <w:b/>
          <w:bCs/>
        </w:rPr>
        <w:t>30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ל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eastAsia="Calibri" w:cs="Calibri" w:ascii="Calibri" w:hAnsi="Calibri"/>
          <w:b/>
          <w:bCs/>
        </w:rPr>
        <w:t>42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חודשי מאסר בין סורג ובריח </w:t>
      </w:r>
      <w:r>
        <w:rPr>
          <w:rFonts w:eastAsia="Calibri" w:cs="Calibri" w:ascii="Calibri" w:hAnsi="Calibri"/>
          <w:b/>
          <w:bCs/>
          <w:rtl w:val="true"/>
        </w:rPr>
        <w:t>(</w:t>
      </w:r>
      <w:r>
        <w:rPr>
          <w:rFonts w:ascii="Calibri" w:hAnsi="Calibri" w:eastAsia="Calibri" w:cs="Calibri"/>
          <w:b/>
          <w:b/>
          <w:bCs/>
          <w:rtl w:val="true"/>
        </w:rPr>
        <w:t>לצד עונשים נלווים בדמותם של מאסר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על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תנאי וקנס</w:t>
      </w:r>
      <w:r>
        <w:rPr>
          <w:rFonts w:eastAsia="Calibri" w:cs="Calibri" w:ascii="Calibri" w:hAnsi="Calibri"/>
          <w:b/>
          <w:bCs/>
          <w:rtl w:val="true"/>
        </w:rPr>
        <w:t xml:space="preserve">)... </w:t>
      </w:r>
      <w:r>
        <w:rPr>
          <w:rFonts w:ascii="Calibri" w:hAnsi="Calibri" w:eastAsia="Calibri" w:cs="Calibri"/>
          <w:b/>
          <w:b/>
          <w:bCs/>
          <w:rtl w:val="true"/>
        </w:rPr>
        <w:t>הווה אומר</w:t>
      </w:r>
      <w:r>
        <w:rPr>
          <w:rFonts w:eastAsia="Calibri"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eastAsia="Calibri" w:cs="Calibri"/>
          <w:b/>
          <w:b/>
          <w:bCs/>
          <w:rtl w:val="true"/>
        </w:rPr>
        <w:t>באין נסיבות מיוחדות לחומרא או לקולא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יהא זה בהחלט סביר אם בית משפט יטיל על נאשם כאמור עונש של </w:t>
      </w:r>
      <w:r>
        <w:rPr>
          <w:rFonts w:eastAsia="Calibri" w:cs="Calibri" w:ascii="Calibri" w:hAnsi="Calibri"/>
          <w:b/>
          <w:bCs/>
        </w:rPr>
        <w:t>36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חודשי מאסר לריצוי בפועל</w:t>
      </w:r>
      <w:r>
        <w:rPr>
          <w:rFonts w:eastAsia="Calibri"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>(</w:t>
      </w:r>
      <w:hyperlink r:id="rId2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5602/22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פלוני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14/9/2022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וראו גם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עניין אגבאריה</w:t>
      </w:r>
      <w:r>
        <w:rPr>
          <w:rFonts w:eastAsia="Calibri" w:cs="Calibri" w:ascii="Calibri" w:hAnsi="Calibri"/>
          <w:rtl w:val="true"/>
        </w:rPr>
        <w:t>)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הוסיף וקבע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המתחם האמור הולם מקרים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רגילים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נשיאת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מקרים בהם נשיאת הנשק נעשתה במטרה לעשות בו שימוש קונקרטי </w:t>
      </w:r>
      <w:r>
        <w:rPr>
          <w:rFonts w:cs="David" w:ascii="David" w:hAnsi="David"/>
          <w:rtl w:val="true"/>
        </w:rPr>
        <w:t>(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6559/23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חסארמה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2/6/2024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31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ברם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גם עבירות הנשק אינן עשויות מקשה אחת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בבוא בית המשפט לקבוע את מתחם העונש ההולם בגינן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עליו לעמוד בכל מקרה ומקרה על נסיבות ביצוע העבירות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המשליכות על חומרתו של מעשה העבירה ועל אשמו של הנאשם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כפי שנפסק</w:t>
      </w:r>
      <w:r>
        <w:rPr>
          <w:rFonts w:eastAsia="Calibri"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eastAsia="Calibri" w:cs="Calibri"/>
          <w:b/>
          <w:b/>
          <w:bCs/>
          <w:rtl w:val="true"/>
        </w:rPr>
        <w:t>ברי כי אין להטיל עונש אחד ואחיד על כל נאשם שעובר עבירת נשק מסוימת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הגישה האינדיבידואלית כלפי הענישה דורשת לבחון את מעשה העבירה הקונקרטי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כן יש לתת את הדעת על השוני בין הנאשמים – שוני שנובע מסוג העבירה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מחלקו של כל נאשם במסכת העבריינית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ומהנסיבות האישיות של כל נאשם</w:t>
      </w:r>
      <w:r>
        <w:rPr>
          <w:rFonts w:eastAsia="Calibri"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Fonts w:eastAsia="Calibri" w:cs="Calibri" w:ascii="Calibri" w:hAnsi="Calibri"/>
          <w:rtl w:val="true"/>
        </w:rPr>
        <w:t>(</w:t>
      </w:r>
      <w:hyperlink r:id="rId3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6383/21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קריף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13/2/2022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עובדות כתב האישום מלמדות כי למעשי העבירה של הנאשמים קדם תכנון ממשי שכלל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פעולות לאיתור מיקום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שיפור המטען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נקיטת פעולות במטרה להקשות על זיהוי הנאשמים ולאפשר הימלטות מהירה מהזירה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חלקו היחסי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בביצוע העבירות גבוה באופן ניכר מחלקו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חולל את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 סכסוך בינו לבין המתלונן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נקט במרבית צעדי התכנון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פנה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בבקשה לספק אביזרים לשיפור המטען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נקט בצעדים להקשות על זיהוי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בדרך של שינוי זהות הרכב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הניח בעצמו את המטען בפתח הדלת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והקיש על הדלת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חלקו היחסי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נמוך באופן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אינו מבוטל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שיתף פעולה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נענה לבקשתו וסיפק ציוד שנדרש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חלק בשיפור המטען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המתין ברכב ונהג בו בנסיעה מהירה כדי להימלט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שלא החזיק ברישיון נהיגה בתוקף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כפי שיובהר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הנזק שצפוי היה להיגרם מביצוע העבירה נמוך מזה הצפוי בעבירות הנשק שנדונו בפסיקה שנזכרה בסעיפים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באותם מקרים נדונו עבירות שנעברו בנשק שבכוחו להמית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בעובדות כתב האישום בהן הנאשמים הודו לא נטען שהיה בכוחו של המטען להמית אדם בעת התפוצצותו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להזיק לאדם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כפי שעולה מקביעתו של בית המשפט העליון בדונו בפרשנות המונח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נזק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העלול להיגרם מכלי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המטען בו נעברו העבירות 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נועד להזיק במשמעותו הפשוטה והברורה בלשון בני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לאמור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בפגיעה מכוונת באדם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במובן זה שהיא מרעה את מצבו הפיסי או מגבילה את תיפקודו כאדם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רגעית או דרך קבע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זאת בכך שמגבילים יכולת עשייתו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מכאיבים 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מהממים או מטשטשים תגובותיו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גורמים לו אי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נוחות גופנית וכל כיוצא בכך</w:t>
      </w:r>
      <w:r>
        <w:rPr>
          <w:rFonts w:cs="David" w:ascii="David" w:hAnsi="David"/>
          <w:rtl w:val="true"/>
        </w:rPr>
        <w:t>" (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398/82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שטרית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לז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668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671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1983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המפורטות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שיפור המטען באמצעות ברגים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מסמרים וחלקי ברזל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העובדה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הקיש על הדלת במטרה שהיא תיפתח בעת פיצוץ המטען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והרסיסים שהתעופפו לעבר הבית בעקבות הפיצוץ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מלמדות בבירור כי כתוצאה מפיצוץ המטען צפוי היה להיגרם נזק ממשי וחמור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ניתן אפוא לקבל את טענות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היתה לנאשמים כוונה לפגוע במתלונן וכי פיצוץ המטען נועד לצורך אפקט של רעש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בכדי הורשעו הנאשמים לפי הסדר הטיעון גם בעבירה של ניסיון פציעה בנסיבות מחמירות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הנזק שנגרם בפועל כתוצאה ממעשי הנאשמים כולל נזקי רכוש בביתו של מחמד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שפורט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הצדדים הפנו בטיעונים לפסיקה ענפה בה נדונו עבירות בנשק שנעברו באמצעות מטעני חבלה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הפנתה לפסקי דין בהם נקבעו מתחמים ועונשים חמורים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ההגנה הפנתה לפסקי דין בהם הוטלו עונשים קלים יחסית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להוסיף ולהפנות לפסקי הדין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1567/14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7/5/2014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נדון ערעור שהגישו שני 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 ובנו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על גזר דין בו הוטלו עליהם עונשי מאסר בפועל למשך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בן 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שנדון לעונש מאסר על תנאי ולצו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ערער על גזר 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 סכסוך בין האב לבין גיסו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האב קשר קשר עם ילדיו לייצר מטעני חבלה מאולתרים המכילים חומר נפיץ ולהשליכם לעבר הגיס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 להפחידו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האב ייצר 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בעזרת 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פחות מעשרה מטענים שביכולתם להזיק לאדם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השלושה פוצצו מטענים מספר פעמים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מנת לבחון את תקינותם ואת עוצמתם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 קבע כי מתחם העונש ההולם למעשי העבירה של האב נע בין שנתיים לבין חמש 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מתחם העונש ההולם למעשי העבירה של הבן נע בין שנה לבין שתי שנות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בערעור שהנאשמים הגישו טענו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בגזר הדין לא ניתן משקל מספיק לכך שכתב האישום לא ייחס להם ייצור מטענים שבכוחם להמית 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מטענים שבכוחם להזיק לאדם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קבע בפסק הדין כי לא נפל פגם במתחמי הענישה שנקבעו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הקל בעונשו של הבן משיקולי אחידות הענישה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3078/13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מסארווה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1/4/2014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נדון ערעור שהגישו שני נאשמים על חומרת העונש שהוטל עליהם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 הורשעו בעבירה של ייצור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הורשעו בעבירות כדלהלן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 xml:space="preserve">מערער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חמש עבירות של נשיאת 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מעשי פזיזות ורשלנות בחומר נפץ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שלוש עבירות של ידיעות כוזבות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שלוש עבירות של ניסיון להיזק בחומר נפיץ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והפרת הוראה חוקית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 xml:space="preserve">מערער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 עבירות של אי מניעת 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 העבירה שהמערערים עברו פורטו בשישה אישומים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אישום ראשון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המערערים הכינו שמונה מטעני חבלה מאולתרים שבכוחם לגרום למותו של אדם או להזיק 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אישום שני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 לבית כלשהו בכפר קרע כשברשותו מטען חבלה 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הראה אותו לדיירי הבית ולמערער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ואמר להם שבדעתו להתקשר למשטרה ולדווח בכזב שהושלך לעברו מטען חבלה מקטנוע נוסע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 להרתיע גורמים איתם היה מסוכסך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 כשברשותו מטען החבלה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הניח את המטען מתחת לרכבו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התקשר למשטרה ודיווח בכזב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כי הושלך לעברו מטען חבלה מרכב נוסע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b/>
          <w:b/>
          <w:bCs/>
          <w:rtl w:val="true"/>
        </w:rPr>
        <w:t>אישום שלישי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בחיפוש שנעשה בביתו של 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 מטען חבלה 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שלפי חשדו של 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הונח בחצרו על ידי אדם בשם נסים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 שוחרר למעצר 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 את תנאי השחרור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 מביתו כשברשותו מטען חבלה 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 מאדם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להשליך את המטען לעבר ביתו של נסים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בקשתו נענתה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המטען לא התפוצץ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אישום רביעי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 להשליך מטען חבלה לעבר בית משפחתה של המתלוננת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רקע סכסוך שכנים שהתפתח ביניהם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יצא מביתו כשברשותו שני מטעני חבלה מאולתרים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 מבדר להשליך מטען חבלה לעבר בית השכנים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בדר הסכים 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המערער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נענה לבקשתו של בדר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וסיפק לו חולצה ארוכה שאליה מחובר כובע מסוג קפוצ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ון וכובע 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מנת למנוע את זיהויו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בדר השליך את המטען לעבר ביתה של המתלוננת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המטען נפל בחצר הבית והתפוצץ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אישום חמישי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הגיע לביתו של מערער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כשברשותו שני מטעני חבלה מאולתרים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אותם הראה למערער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ולבדר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יצא מביתו של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כשברשותו אחד המטענים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הניח אותו בחצר ביתו של 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התקשר למשטרה ודיווח בכזב כי אדם אחר הניח את המטען 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אישום שישי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המערער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 לביתו של אדם בשם מורסי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כשברשותו מטען חבלה 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והציע לו לסייע לו כתצפיתן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 שהוא ישליך את המטען לעבר ביתו של הקאדי איאד זחאלקה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מורסי הסכים 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השליך את המטען לעבר ביתו של הקאדי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המטען נפל בחצר הבית ולא התפוצץ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 למשטרה ודיווח בכזב כי אדם אחר הניח את המטען בחצר ביתו של הקאדי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 קבע כי מתחם הענישה לכל אחת מעבירות הנשק נע בין שלוש לשש 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והטיל על המערער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 מאסר בפועל למשך שבע שנים וארבעה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ועל המערער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 למשך שלוש 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דחה את הערעור בכל הנוגע לעונשי המאסר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שציין כי הוא נמנע מלהביע עמדה לגבי מתחם הענישה שנקבע לעבירות של ייצור 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31842-04-21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חדד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7/3/2022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נגזר דינו של נאשם שהורשע בעבירה של נשיאה והובלת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לאחר שברכבו נמצאה לבנת חבלה מספר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במשקל של </w:t>
      </w:r>
      <w:r>
        <w:rPr>
          <w:rFonts w:cs="Calibri" w:ascii="Calibri" w:hAnsi="Calibri"/>
        </w:rPr>
        <w:t>530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מתוצרת רפא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ובשימוש כוחות הביטחון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המכילה חומר נפץ מרסק מסוג ציקלוניט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RDX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ובכוחה להמית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 קבע כי מתחם העונש ההולם נע בין שלוש שנות מאסר בפועל לבין חמש 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והטיל על הנאשם עונש מאסר בפועל למשך ארבע 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ערעור שהנאשם הגיש </w:t>
      </w:r>
      <w:r>
        <w:rPr>
          <w:rFonts w:cs="Calibri" w:ascii="Calibri" w:hAnsi="Calibri"/>
          <w:rtl w:val="true"/>
        </w:rPr>
        <w:t>(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2633/22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חדד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15/1/2023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התקבל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ועונש המאסר הועמד על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העונש שהוטל על המערער ראוי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 הוא מבטא החמרה בענישה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 להחמיר בענישה באופן הדרגתי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בהתחשב באמור לעיל אשר לערכים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הקשורות בביצוע העבירות ובמדיניות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נראה לי כי מתחם העונש ההולם למעשי העבירה שעבר </w:t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מתחם העונש ההולם למעשיו של </w:t>
      </w:r>
      <w:r>
        <w:rPr>
          <w:rFonts w:ascii="David" w:hAnsi="David"/>
          <w:b/>
          <w:b/>
          <w:bCs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העונשים המתאימים לנאשמים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העונשים המתאימים לנאשמים בתוך מתחמי הענישה שנקבעו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לטובתם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הודאתם שניתנה בשלב מוקדם מאוד של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במסגרת הדיון המקדמי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בכך כדי לאשש את טענת הנאשמים בפרשת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הם מקבלים על עצמם אחריות למעשיהם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מתחרטים עליהם ומבקשים לנהל אורח חיים נורמטיבי לאחר שיסיימו לרצות את עונשם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בכך כדי לחסוך מזמנם של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עשרות העדים המפורטים בכתב האישום ובמשאבי המערכת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 בנסיבות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המשפחתיות והרפואיות של הנאשמים והוריהם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ובפגיעה שתיגרם להם ולבני משפחתם כתוצאה מהעונשים שיוטלו עליהם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שפורט על ידם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לטובתו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 הנקי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לחובתו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 עברו 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שמדובר בהרשעה בעבירות שאינן ממין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שנעברו על ידו כשש שנים קודם לאירועים בהם הורשע בהליך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בהיותו קטין כבן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לתת משקל רב יותר לשיקולים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לקולה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חילוט הרכב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לא הציגה נימוק שיהיה בו להביא לדחיית בקשת המאשימה לחילוט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הורשעו בעבירות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אין מחלוקת כי הרכב שייך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ההרשעה מתייחסת למעשה עבירה שנעשה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דנן אין ספק כי הרכב שימש לביצוע העבירה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הוא נכלל במפורש בכתב האישום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נעשה בו שימוש במסגרת התכנון המוקדם של המזימה העבריינית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והשימוש ברכב תרם תרומה פיזית אפקטיבית להשלמת העבירות ולהימלטות מהזירה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השוו</w:t>
      </w:r>
      <w:r>
        <w:rPr>
          <w:rFonts w:cs="David" w:ascii="David" w:hAnsi="David"/>
          <w:rtl w:val="true"/>
        </w:rPr>
        <w:t xml:space="preserve">: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7992/22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1/3/2023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דן אפוא את הנאשמים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/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נאשם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שיימנו החל מיום 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29/9/2023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למשך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 מסוג פשע או עבירת אלימות כלפי גוף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חמישה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 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פיצוי לנפגע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בסך </w:t>
      </w:r>
      <w:r>
        <w:rPr>
          <w:rFonts w:cs="Calibri" w:ascii="Calibri" w:hAnsi="Calibri"/>
        </w:rPr>
        <w:t>7,000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הפיצוי יופקד בקופת בית המשפט עד ליום </w:t>
      </w:r>
      <w:r>
        <w:rPr>
          <w:rFonts w:cs="Calibri" w:ascii="Calibri" w:hAnsi="Calibri"/>
        </w:rPr>
        <w:t>1/1/2025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הרכב ששימש לביצוע העבירה יחולט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/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נאשם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החל מיום 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30/9/2023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שבעה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 מסוג פשע או עבירת אלימות כלפי גוף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שלושה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 מסוג עוון או עבירה של נהיגה ללא רישיון נהיגה בתוקף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 רישיון נהיגה שפקע בתוך שנה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פיצוי לנפגע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בסך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הפיצוי יופקד בקופת בית המשפט עד ליום </w:t>
      </w:r>
      <w:r>
        <w:rPr>
          <w:rFonts w:cs="Calibri" w:ascii="Calibri" w:hAnsi="Calibri"/>
        </w:rPr>
        <w:t>1/1/2025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ascii="David" w:hAnsi="David" w:eastAsia="Calibri"/>
          <w:rtl w:val="true"/>
          <w:lang w:eastAsia="he-IL"/>
        </w:rPr>
        <w:t xml:space="preserve">זכות ערעור לבית המשפט העליון בתוך </w:t>
      </w:r>
      <w:r>
        <w:rPr>
          <w:rFonts w:eastAsia="Calibri" w:cs="David" w:ascii="David" w:hAnsi="David"/>
          <w:lang w:eastAsia="he-IL"/>
        </w:rPr>
        <w:t>45</w:t>
      </w:r>
      <w:r>
        <w:rPr>
          <w:rFonts w:eastAsia="Calibri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Calibri"/>
          <w:rtl w:val="true"/>
          <w:lang w:eastAsia="he-IL"/>
        </w:rPr>
        <w:t>יום מהיום</w:t>
      </w:r>
      <w:r>
        <w:rPr>
          <w:rFonts w:eastAsia="Calibri"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23075-10-23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אוסאמה גראדאת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g" TargetMode="External"/><Relationship Id="rId6" Type="http://schemas.openxmlformats.org/officeDocument/2006/relationships/hyperlink" Target="http://www.nevo.co.il/law/70301/334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335.a.2" TargetMode="External"/><Relationship Id="rId9" Type="http://schemas.openxmlformats.org/officeDocument/2006/relationships/hyperlink" Target="http://www.nevo.co.il/law/70301/413.i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10.a" TargetMode="External"/><Relationship Id="rId13" Type="http://schemas.openxmlformats.org/officeDocument/2006/relationships/hyperlink" Target="http://www.nevo.co.il/law/70301/334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/335.a.2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452" TargetMode="External"/><Relationship Id="rId20" Type="http://schemas.openxmlformats.org/officeDocument/2006/relationships/hyperlink" Target="http://www.nevo.co.il/law/70301/413.i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5227/10.a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case/27309272" TargetMode="External"/><Relationship Id="rId25" Type="http://schemas.openxmlformats.org/officeDocument/2006/relationships/hyperlink" Target="http://www.nevo.co.il/case/25824863" TargetMode="External"/><Relationship Id="rId26" Type="http://schemas.openxmlformats.org/officeDocument/2006/relationships/hyperlink" Target="http://www.nevo.co.il/case/5724364" TargetMode="External"/><Relationship Id="rId27" Type="http://schemas.openxmlformats.org/officeDocument/2006/relationships/hyperlink" Target="http://www.nevo.co.il/law/70301/144.g" TargetMode="External"/><Relationship Id="rId28" Type="http://schemas.openxmlformats.org/officeDocument/2006/relationships/hyperlink" Target="http://www.nevo.co.il/case/30168342" TargetMode="External"/><Relationship Id="rId29" Type="http://schemas.openxmlformats.org/officeDocument/2006/relationships/hyperlink" Target="http://www.nevo.co.il/case/28883087" TargetMode="External"/><Relationship Id="rId30" Type="http://schemas.openxmlformats.org/officeDocument/2006/relationships/hyperlink" Target="http://www.nevo.co.il/case/30003285" TargetMode="External"/><Relationship Id="rId31" Type="http://schemas.openxmlformats.org/officeDocument/2006/relationships/hyperlink" Target="http://www.nevo.co.il/case/27925239" TargetMode="External"/><Relationship Id="rId32" Type="http://schemas.openxmlformats.org/officeDocument/2006/relationships/hyperlink" Target="http://www.nevo.co.il/case/17921677" TargetMode="External"/><Relationship Id="rId33" Type="http://schemas.openxmlformats.org/officeDocument/2006/relationships/hyperlink" Target="http://www.nevo.co.il/case/16916801" TargetMode="External"/><Relationship Id="rId34" Type="http://schemas.openxmlformats.org/officeDocument/2006/relationships/hyperlink" Target="http://www.nevo.co.il/case/6958835" TargetMode="External"/><Relationship Id="rId35" Type="http://schemas.openxmlformats.org/officeDocument/2006/relationships/hyperlink" Target="http://www.nevo.co.il/case/27547103" TargetMode="External"/><Relationship Id="rId36" Type="http://schemas.openxmlformats.org/officeDocument/2006/relationships/hyperlink" Target="http://www.nevo.co.il/case/28538206" TargetMode="External"/><Relationship Id="rId37" Type="http://schemas.openxmlformats.org/officeDocument/2006/relationships/hyperlink" Target="http://www.nevo.co.il/case/29161814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2024-09-19T06:20:00Z</dcterms:created>
  <dc:creator> </dc:creator>
  <dc:description/>
  <cp:keywords/>
  <dc:language>en-IL</dc:language>
  <cp:lastModifiedBy>h1</cp:lastModifiedBy>
  <dcterms:modified xsi:type="dcterms:W3CDTF">2024-09-19T06:20:00Z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אוסאמה גראדאת;דיא אלדין נאסר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27309272;25824863;5724364;30168342;28883087;30003285;27925239;17921677;16916801;6958835;27547103;28538206;29161814</vt:lpwstr>
  </property>
  <property fmtid="{D5CDD505-2E9C-101B-9397-08002B2CF9AE}" pid="9" name="CITY">
    <vt:lpwstr>י-ם</vt:lpwstr>
  </property>
  <property fmtid="{D5CDD505-2E9C-101B-9397-08002B2CF9AE}" pid="10" name="DATE">
    <vt:lpwstr>20240916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כדורי</vt:lpwstr>
  </property>
  <property fmtid="{D5CDD505-2E9C-101B-9397-08002B2CF9AE}" pid="14" name="LAWLISTTMP1">
    <vt:lpwstr>70301/334;335.a.1;335.a.2;025;144.a;452;413.i;144.g</vt:lpwstr>
  </property>
  <property fmtid="{D5CDD505-2E9C-101B-9397-08002B2CF9AE}" pid="15" name="LAWLISTTMP2">
    <vt:lpwstr>5227/010.a</vt:lpwstr>
  </property>
  <property fmtid="{D5CDD505-2E9C-101B-9397-08002B2CF9AE}" pid="16" name="LAWYER">
    <vt:lpwstr>ליזו וולפוס;אמיר דראושהפאדי זועבי;חיים רוט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23075</vt:lpwstr>
  </property>
  <property fmtid="{D5CDD505-2E9C-101B-9397-08002B2CF9AE}" pid="23" name="NEWPARTB">
    <vt:lpwstr>10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390020240916</vt:lpwstr>
  </property>
  <property fmtid="{D5CDD505-2E9C-101B-9397-08002B2CF9AE}" pid="35" name="TYPE_N_DATE">
    <vt:lpwstr>39020240916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