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23167-10-12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חמדת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הטבע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כרמל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קדור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הנאשמים 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חמדת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הטבע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מירב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רחימוף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שניהם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זרקו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זמיר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מס ערך מוסף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ו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1975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117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117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6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119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6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15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מס הכנסה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] -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לא מרובד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1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216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224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9" w:name="PsakDin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 ז ר   ד י ן</w:t>
            </w:r>
            <w:bookmarkEnd w:id="9"/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הנאשמות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9">
        <w:r>
          <w:rPr>
            <w:rStyle w:val="Hyperlink"/>
            <w:color w:val="0000FF"/>
            <w:u w:val="single"/>
          </w:rPr>
          <w:t>119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 xml:space="preserve">). </w:t>
      </w:r>
      <w:bookmarkStart w:id="11" w:name="ABSTRACT_END"/>
      <w:bookmarkEnd w:id="11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– </w:t>
      </w:r>
      <w:r>
        <w:rPr/>
        <w:t>2011</w:t>
      </w:r>
      <w:r>
        <w:rPr>
          <w:rtl w:val="true"/>
        </w:rPr>
        <w:t xml:space="preserve">. </w:t>
      </w:r>
      <w:r>
        <w:rPr>
          <w:rtl w:val="true"/>
        </w:rPr>
        <w:t>הנאשמות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: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ופברואר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20,008</w:t>
      </w:r>
      <w:r>
        <w:rPr>
          <w:rtl w:val="true"/>
        </w:rPr>
        <w:t xml:space="preserve"> ₪.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: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>,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 </w:t>
      </w:r>
      <w:r>
        <w:rPr>
          <w:rtl w:val="true"/>
        </w:rPr>
        <w:t>ויולי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רישומים</w:t>
      </w:r>
      <w:r>
        <w:rPr>
          <w:rtl w:val="true"/>
        </w:rPr>
        <w:t xml:space="preserve">,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.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tl w:val="true"/>
        </w:rPr>
        <w:t xml:space="preserve">)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37,261</w:t>
      </w:r>
      <w:r>
        <w:rPr>
          <w:rtl w:val="true"/>
        </w:rPr>
        <w:t xml:space="preserve"> ₪.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30,000</w:t>
      </w:r>
      <w:r>
        <w:rPr>
          <w:rtl w:val="true"/>
        </w:rPr>
        <w:t xml:space="preserve"> ₪,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להיגמל</w:t>
      </w:r>
      <w:r>
        <w:rPr>
          <w:rtl w:val="true"/>
        </w:rPr>
        <w:t xml:space="preserve">. </w:t>
      </w:r>
      <w:r>
        <w:rPr>
          <w:rtl w:val="true"/>
        </w:rPr>
        <w:t>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לחודש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rFonts w:cs="Times New Roman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שיקולי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המנחים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מס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ובכלכלה</w:t>
      </w:r>
      <w:r>
        <w:rPr>
          <w:rtl w:val="true"/>
        </w:rPr>
        <w:t xml:space="preserve">.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5906/12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עזרא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9.9.12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tl w:val="true"/>
        </w:rPr>
        <w:t xml:space="preserve">; </w:t>
      </w:r>
      <w:hyperlink r:id="rId23">
        <w:r>
          <w:rPr>
            <w:rStyle w:val="Hyperlink"/>
            <w:color w:val="0000FF"/>
            <w:u w:val="single"/>
          </w:rPr>
          <w:t>1689/09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10.5.09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; </w:t>
      </w:r>
      <w:hyperlink r:id="rId2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6095/06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5.11.06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); 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6474/03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מלכה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נח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727,721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6095/06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5.11.06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קפידה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26/97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לקס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673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690</w:t>
      </w:r>
      <w:r>
        <w:rPr>
          <w:rtl w:val="true"/>
        </w:rPr>
        <w:t xml:space="preserve">, </w:t>
      </w:r>
      <w:r>
        <w:rPr/>
        <w:t>694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704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hyperlink r:id="rId3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1875/98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אורן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בנגב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מתכות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מ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נד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529</w:t>
      </w:r>
      <w:r>
        <w:rPr>
          <w:rtl w:val="true"/>
        </w:rPr>
        <w:t xml:space="preserve">, </w:t>
      </w:r>
      <w:r>
        <w:rPr/>
        <w:t>536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5953/08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עתאמלה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22.10.08</w:t>
      </w:r>
      <w:r>
        <w:rPr>
          <w:rtl w:val="true"/>
        </w:rPr>
        <w:t xml:space="preserve">).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"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4844/00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ברקאי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37</w:t>
      </w:r>
      <w:r>
        <w:rPr>
          <w:rtl w:val="true"/>
        </w:rPr>
        <w:t>(</w:t>
      </w:r>
      <w:r>
        <w:rPr/>
        <w:t>2001</w:t>
      </w:r>
      <w:r>
        <w:rPr>
          <w:rtl w:val="true"/>
        </w:rPr>
        <w:t xml:space="preserve">); </w:t>
      </w:r>
      <w:hyperlink r:id="rId3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6167/11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ספקיוריטי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המרכזי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19.2.12</w:t>
      </w:r>
      <w:r>
        <w:rPr>
          <w:rtl w:val="true"/>
        </w:rPr>
        <w:t xml:space="preserve">); </w:t>
      </w:r>
      <w:hyperlink r:id="rId3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4563/09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פריצקר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5.6.09</w:t>
      </w:r>
      <w:r>
        <w:rPr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מידת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האשם</w:t>
      </w:r>
      <w:r>
        <w:rPr>
          <w:b/>
          <w:bCs/>
          <w:sz w:val="28"/>
          <w:szCs w:val="28"/>
          <w:rtl w:val="true"/>
        </w:rPr>
        <w:t xml:space="preserve">" </w:t>
      </w:r>
      <w:r>
        <w:rPr>
          <w:b/>
          <w:b/>
          <w:bCs/>
          <w:sz w:val="28"/>
          <w:sz w:val="28"/>
          <w:szCs w:val="28"/>
          <w:rtl w:val="true"/>
        </w:rPr>
        <w:t>ו</w:t>
      </w:r>
      <w:r>
        <w:rPr>
          <w:b/>
          <w:bCs/>
          <w:sz w:val="28"/>
          <w:szCs w:val="28"/>
          <w:rtl w:val="true"/>
        </w:rPr>
        <w:t>-"</w:t>
      </w:r>
      <w:r>
        <w:rPr>
          <w:b/>
          <w:b/>
          <w:bCs/>
          <w:sz w:val="28"/>
          <w:sz w:val="28"/>
          <w:szCs w:val="28"/>
          <w:rtl w:val="true"/>
        </w:rPr>
        <w:t>מידת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הנזק</w:t>
      </w:r>
      <w:r>
        <w:rPr>
          <w:b/>
          <w:bCs/>
          <w:sz w:val="28"/>
          <w:szCs w:val="28"/>
          <w:rtl w:val="true"/>
        </w:rPr>
        <w:t xml:space="preserve">" </w:t>
      </w:r>
      <w:r>
        <w:rPr>
          <w:b/>
          <w:b/>
          <w:bCs/>
          <w:sz w:val="28"/>
          <w:sz w:val="28"/>
          <w:szCs w:val="28"/>
          <w:rtl w:val="true"/>
        </w:rPr>
        <w:t>כפרמטרים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מנחים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בקביעת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הוגדרה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>)".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"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 </w:t>
      </w:r>
      <w:r>
        <w:rPr>
          <w:rtl w:val="true"/>
        </w:rPr>
        <w:t>ל</w:t>
      </w:r>
      <w:hyperlink r:id="rId4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. 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;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b/>
          <w:bCs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-"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שיבדילו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למשנהו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. 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;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center"/>
        <w:rPr>
          <w:bCs/>
        </w:rPr>
      </w:pPr>
      <w:r>
        <w:rPr>
          <w:bCs/>
          <w:rtl w:val="true"/>
        </w:rPr>
        <w:t>במקרה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שבפני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מידת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האשם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נמדדת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פי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רמת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התכנון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שקדמה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לביצוע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העבירות</w:t>
      </w:r>
      <w:r>
        <w:rPr>
          <w:bCs/>
          <w:rtl w:val="true"/>
        </w:rPr>
        <w:t xml:space="preserve">. </w:t>
      </w:r>
      <w:r>
        <w:rPr>
          <w:bCs/>
          <w:rtl w:val="true"/>
        </w:rPr>
        <w:t>בנוסף</w:t>
      </w:r>
      <w:r>
        <w:rPr>
          <w:bCs/>
          <w:rtl w:val="true"/>
        </w:rPr>
        <w:t>,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37,261</w:t>
      </w:r>
      <w:r>
        <w:rPr>
          <w:b/>
          <w:bCs/>
          <w:rtl w:val="true"/>
        </w:rPr>
        <w:t xml:space="preserve"> ₪.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נקבע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נסיבות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ביצוע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העבירה</w:t>
      </w:r>
      <w:r>
        <w:rPr>
          <w:b/>
          <w:bCs/>
          <w:sz w:val="28"/>
          <w:szCs w:val="28"/>
          <w:u w:val="single"/>
          <w:rtl w:val="true"/>
        </w:rPr>
        <w:t xml:space="preserve">"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ולא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לפי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סוג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העבירה</w:t>
      </w:r>
      <w:r>
        <w:rPr>
          <w:b/>
          <w:bCs/>
          <w:sz w:val="28"/>
          <w:szCs w:val="28"/>
          <w:u w:val="single"/>
          <w:rtl w:val="true"/>
        </w:rPr>
        <w:t>"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4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4088/13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11.6.2013</w:t>
      </w:r>
      <w:r>
        <w:rPr>
          <w:rtl w:val="true"/>
        </w:rPr>
        <w:t xml:space="preserve">)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2880" w:end="0"/>
        <w:jc w:val="both"/>
        <w:rPr>
          <w:b/>
          <w:bCs/>
        </w:rPr>
      </w:pPr>
      <w:r>
        <w:rPr>
          <w:rtl w:val="true"/>
        </w:rPr>
        <w:t>"</w:t>
      </w:r>
      <w:r>
        <w:rPr>
          <w:rFonts w:ascii="Garamond" w:hAnsi="Garamond" w:cs="Garamond"/>
          <w:spacing w:val="10"/>
          <w:rtl w:val="true"/>
        </w:rPr>
        <w:t>קביעת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מתחם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העונש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ההולם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היא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מלאכתה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של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הערכאה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הדיונית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כפי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שעולה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מנוסחו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של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תיקון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</w:rPr>
        <w:t>113</w:t>
      </w:r>
      <w:r>
        <w:rPr>
          <w:rFonts w:cs="Garamond" w:ascii="Garamond" w:hAnsi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</w:t>
      </w:r>
      <w:hyperlink r:id="rId47">
        <w:r>
          <w:rPr>
            <w:rStyle w:val="Hyperlink"/>
            <w:rFonts w:ascii="Garamond" w:hAnsi="Garamond" w:cs="Garamond"/>
            <w:spacing w:val="10"/>
            <w:rtl w:val="true"/>
          </w:rPr>
          <w:t>חוק</w:t>
        </w:r>
        <w:r>
          <w:rPr>
            <w:rStyle w:val="Hyperlink"/>
            <w:rFonts w:ascii="Garamond" w:hAnsi="Garamond" w:cs="Garamond"/>
            <w:spacing w:val="10"/>
            <w:rtl w:val="true"/>
          </w:rPr>
          <w:t xml:space="preserve"> </w:t>
        </w:r>
        <w:r>
          <w:rPr>
            <w:rStyle w:val="Hyperlink"/>
            <w:rFonts w:ascii="Garamond" w:hAnsi="Garamond" w:cs="Garamond"/>
            <w:spacing w:val="10"/>
            <w:rtl w:val="true"/>
          </w:rPr>
          <w:t>העונשין</w:t>
        </w:r>
      </w:hyperlink>
      <w:r>
        <w:rPr>
          <w:rFonts w:cs="Garamond" w:ascii="Garamond" w:hAnsi="Garamond"/>
          <w:spacing w:val="10"/>
          <w:rtl w:val="true"/>
        </w:rPr>
        <w:t xml:space="preserve">. </w:t>
      </w:r>
      <w:r>
        <w:rPr>
          <w:rFonts w:ascii="Garamond" w:hAnsi="Garamond" w:cs="Garamond"/>
          <w:spacing w:val="10"/>
          <w:rtl w:val="true"/>
        </w:rPr>
        <w:t>אשר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לשיקולים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המנחים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את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בית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המשפט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בקביעת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מתחם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הענישה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ההולם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מן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הראוי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להפנות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לסעיף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</w:rPr>
        <w:t>40</w:t>
      </w:r>
      <w:r>
        <w:rPr>
          <w:rFonts w:ascii="Garamond" w:hAnsi="Garamond" w:cs="Garamond"/>
          <w:spacing w:val="10"/>
          <w:rtl w:val="true"/>
        </w:rPr>
        <w:t>ג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</w:t>
      </w:r>
      <w:hyperlink r:id="rId48">
        <w:r>
          <w:rPr>
            <w:rStyle w:val="Hyperlink"/>
            <w:rFonts w:ascii="Garamond" w:hAnsi="Garamond" w:cs="Garamond"/>
            <w:spacing w:val="10"/>
            <w:rtl w:val="true"/>
          </w:rPr>
          <w:t>חוק</w:t>
        </w:r>
        <w:r>
          <w:rPr>
            <w:rStyle w:val="Hyperlink"/>
            <w:rFonts w:ascii="Garamond" w:hAnsi="Garamond" w:cs="Garamond"/>
            <w:spacing w:val="10"/>
            <w:rtl w:val="true"/>
          </w:rPr>
          <w:t xml:space="preserve"> </w:t>
        </w:r>
        <w:r>
          <w:rPr>
            <w:rStyle w:val="Hyperlink"/>
            <w:rFonts w:ascii="Garamond" w:hAnsi="Garamond" w:cs="Garamond"/>
            <w:spacing w:val="10"/>
            <w:rtl w:val="true"/>
          </w:rPr>
          <w:t>העונשין</w:t>
        </w:r>
      </w:hyperlink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המתייחס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בין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היתר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ל</w:t>
      </w:r>
      <w:r>
        <w:rPr>
          <w:rFonts w:cs="Garamond" w:ascii="Garamond" w:hAnsi="Garamond"/>
          <w:spacing w:val="10"/>
          <w:rtl w:val="true"/>
        </w:rPr>
        <w:t>"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Garamond" w:ascii="Garamond" w:hAnsi="Garamond"/>
          <w:spacing w:val="10"/>
          <w:rtl w:val="true"/>
        </w:rPr>
        <w:t xml:space="preserve">", </w:t>
      </w:r>
      <w:r>
        <w:rPr>
          <w:rFonts w:ascii="Garamond" w:hAnsi="Garamond" w:cs="Garamond"/>
          <w:spacing w:val="10"/>
          <w:rtl w:val="true"/>
        </w:rPr>
        <w:t>כמפורט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בסעיף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</w:rPr>
        <w:t>40</w:t>
      </w:r>
      <w:r>
        <w:rPr>
          <w:rFonts w:ascii="Garamond" w:hAnsi="Garamond" w:cs="Garamond"/>
          <w:spacing w:val="10"/>
          <w:rtl w:val="true"/>
        </w:rPr>
        <w:t>ט</w:t>
      </w:r>
      <w:r>
        <w:rPr>
          <w:rFonts w:cs="Garamond" w:ascii="Garamond" w:hAnsi="Garamond"/>
          <w:spacing w:val="10"/>
          <w:rtl w:val="true"/>
        </w:rPr>
        <w:t xml:space="preserve">. </w:t>
      </w:r>
      <w:r>
        <w:rPr>
          <w:rFonts w:ascii="Garamond" w:hAnsi="Garamond" w:cs="Garamond"/>
          <w:spacing w:val="10"/>
          <w:rtl w:val="true"/>
        </w:rPr>
        <w:t>ועוד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יש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להפנות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לעניין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קביעת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המתחם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להוראות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סעיף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</w:rPr>
        <w:t>40</w:t>
      </w:r>
      <w:r>
        <w:rPr>
          <w:rFonts w:ascii="Garamond" w:hAnsi="Garamond" w:cs="Garamond"/>
          <w:spacing w:val="10"/>
          <w:rtl w:val="true"/>
        </w:rPr>
        <w:t>יב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המקנה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לערכאה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הדיונית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את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הסמכות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  <w:rtl w:val="true"/>
        </w:rPr>
        <w:t>"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Garamond" w:ascii="Garamond" w:hAnsi="Garamond"/>
          <w:spacing w:val="10"/>
          <w:rtl w:val="true"/>
        </w:rPr>
        <w:t xml:space="preserve">". </w:t>
      </w:r>
      <w:r>
        <w:rPr>
          <w:rFonts w:ascii="Garamond" w:hAnsi="Garamond" w:cs="Garamond"/>
          <w:spacing w:val="10"/>
          <w:rtl w:val="true"/>
        </w:rPr>
        <w:t>כפועל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יוצא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מהאמור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לעיל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לא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ניתן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לטעמי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לקבוע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אפריורית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מתחם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ענישה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הולם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אחיד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לכל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עבירה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ועבירה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וגם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לא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יהיה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נכון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לנסות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וללכת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בדרך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זו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שכן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היא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חותרת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תחת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הוראותיו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נוסחו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ורוחו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של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תיקון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cs="Garamond" w:ascii="Garamond" w:hAnsi="Garamond"/>
          <w:b/>
          <w:bCs/>
          <w:spacing w:val="10"/>
        </w:rPr>
        <w:t>113</w:t>
      </w:r>
      <w:r>
        <w:rPr>
          <w:rFonts w:cs="Garamond" w:ascii="Garamond" w:hAnsi="Garamond"/>
          <w:b/>
          <w:bCs/>
          <w:spacing w:val="10"/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ab/>
        <w:tab/>
        <w:tab/>
        <w:tab/>
      </w: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הצביון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האינדיבידואלי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4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13.5.2013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Ruller4"/>
        <w:ind w:start="28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אמת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מידה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נורמטיבית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המשקללת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הערך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שנפגע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הנהוגה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ונסיבות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אשמו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בשלב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איננו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מתחשבים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בנסיבותיו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היינו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קשורות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סעיף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40</w:t>
      </w:r>
      <w:r>
        <w:rPr>
          <w:rFonts w:cs="David"/>
          <w:sz w:val="24"/>
          <w:sz w:val="24"/>
          <w:szCs w:val="24"/>
          <w:rtl w:val="true"/>
        </w:rPr>
        <w:t>יא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דוגמת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שתיגרם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ולמשפחתו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מהעונש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מאמציו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לחזור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למוטב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ועברו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היעדרו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לגרוע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הצביון</w:t>
      </w:r>
      <w:r>
        <w:rPr>
          <w:rFonts w:ascii="Times New Roman" w:hAnsi="Times New Roman" w:eastAsia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האינדיבידואלי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שהעניק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המחוקק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לשלב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עיצוב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בהוראה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להתחשב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בסוג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 w:eastAsia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eastAsia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המסוימות</w:t>
      </w:r>
      <w:r>
        <w:rPr>
          <w:rFonts w:ascii="Times New Roman" w:hAnsi="Times New Roman" w:eastAsia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שבהן</w:t>
      </w:r>
      <w:r>
        <w:rPr>
          <w:rFonts w:ascii="Times New Roman" w:hAnsi="Times New Roman" w:eastAsia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היא</w:t>
      </w:r>
      <w:r>
        <w:rPr>
          <w:rFonts w:ascii="Times New Roman" w:hAnsi="Times New Roman" w:eastAsia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בוצעה</w:t>
      </w:r>
      <w:r>
        <w:rPr>
          <w:rFonts w:ascii="Times New Roman" w:hAnsi="Times New Roman"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למשל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: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קיומו</w:t>
      </w:r>
      <w:r>
        <w:rPr>
          <w:rFonts w:ascii="Times New Roman" w:hAnsi="Times New Roman" w:eastAsia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תכנון</w:t>
      </w:r>
      <w:r>
        <w:rPr>
          <w:rFonts w:ascii="Times New Roman" w:hAnsi="Times New Roman" w:eastAsia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מוקדם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נזק</w:t>
      </w:r>
      <w:r>
        <w:rPr>
          <w:rFonts w:ascii="Times New Roman" w:hAnsi="Times New Roman" w:eastAsia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בכוח</w:t>
      </w:r>
      <w:r>
        <w:rPr>
          <w:rFonts w:ascii="Times New Roman" w:hAnsi="Times New Roman" w:eastAsia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ובפועל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מידת</w:t>
      </w:r>
      <w:r>
        <w:rPr>
          <w:rFonts w:ascii="Times New Roman" w:hAnsi="Times New Roman" w:eastAsia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אכזריות</w:t>
      </w:r>
      <w:r>
        <w:rPr>
          <w:rFonts w:ascii="Times New Roman" w:hAnsi="Times New Roman" w:eastAsia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כלפי</w:t>
      </w:r>
      <w:r>
        <w:rPr>
          <w:rFonts w:ascii="Times New Roman" w:hAnsi="Times New Roman" w:eastAsia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 w:val="24"/>
          <w:szCs w:val="24"/>
          <w:rtl w:val="true"/>
        </w:rPr>
        <w:t>קורבן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וכו</w:t>
      </w:r>
      <w:r>
        <w:rPr>
          <w:rFonts w:cs="David"/>
          <w:sz w:val="24"/>
          <w:szCs w:val="24"/>
          <w:rtl w:val="true"/>
        </w:rPr>
        <w:t xml:space="preserve">'), </w:t>
      </w:r>
      <w:r>
        <w:rPr>
          <w:rFonts w:cs="David"/>
          <w:sz w:val="24"/>
          <w:sz w:val="24"/>
          <w:szCs w:val="24"/>
          <w:rtl w:val="true"/>
        </w:rPr>
        <w:t>ותוך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התייחסות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למידת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האשם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eastAsia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המסוים</w:t>
      </w:r>
      <w:r>
        <w:rPr>
          <w:rFonts w:ascii="Times New Roman" w:hAnsi="Times New Roman"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שלפנינו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למשל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הסיבות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שהובילוהו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לבצע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חלקו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היחסי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יכולתו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להימנע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מהמעשה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מצוקתו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הנפשית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התעללות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מצד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קורבן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וכו</w:t>
      </w:r>
      <w:r>
        <w:rPr>
          <w:rFonts w:cs="David"/>
          <w:sz w:val="24"/>
          <w:szCs w:val="24"/>
          <w:rtl w:val="true"/>
        </w:rPr>
        <w:t xml:space="preserve">')."  </w:t>
      </w:r>
    </w:p>
    <w:p>
      <w:pPr>
        <w:pStyle w:val="Ruller4"/>
        <w:ind w:start="28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"/>
        <w:ind w:start="28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ההדגשה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במקור</w:t>
      </w:r>
      <w:r>
        <w:rPr>
          <w:rFonts w:cs="David"/>
          <w:sz w:val="24"/>
          <w:szCs w:val="24"/>
          <w:rtl w:val="true"/>
        </w:rPr>
        <w:t>)</w:t>
      </w:r>
    </w:p>
    <w:p>
      <w:pPr>
        <w:pStyle w:val="Ruller4"/>
        <w:ind w:start="28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מדיניות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בעביר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הגשת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דו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ח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לרשויות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מע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2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דוחות</w:t>
      </w:r>
    </w:p>
    <w:p>
      <w:pPr>
        <w:pStyle w:val="Normal"/>
        <w:numPr>
          <w:ilvl w:val="1"/>
          <w:numId w:val="2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1"/>
          <w:numId w:val="2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5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5953/08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עתאמלה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22.10.08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₪.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  <w:t xml:space="preserve"> </w:t>
      </w:r>
      <w:hyperlink r:id="rId5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3873/07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בושנאק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בפדאור</w:t>
      </w:r>
      <w:r>
        <w:rPr>
          <w:rtl w:val="true"/>
        </w:rPr>
        <w:t>] (</w:t>
      </w:r>
      <w:r>
        <w:rPr/>
        <w:t>17.10.07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)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70,000</w:t>
      </w:r>
      <w:r>
        <w:rPr>
          <w:rtl w:val="true"/>
        </w:rPr>
        <w:t xml:space="preserve"> ₪.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₪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ab/>
      </w:r>
      <w:hyperlink r:id="rId5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אלחלאוה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14.1.13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3">
        <w:r>
          <w:rPr>
            <w:rStyle w:val="Hyperlink"/>
            <w:color w:val="0000FF"/>
            <w:u w:val="single"/>
          </w:rPr>
          <w:t>224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4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₪.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</w:t>
      </w:r>
      <w:r>
        <w:rPr>
          <w:rtl w:val="true"/>
        </w:rPr>
        <w:t>".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  <w:tab/>
      </w:r>
      <w:hyperlink r:id="rId6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6167/11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ספקיוריטי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המרכזי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19.2.12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47937/07/10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12.7.11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₪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₪.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רכיב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המאסר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b/>
          <w:bCs/>
          <w:rtl w:val="true"/>
        </w:rPr>
        <w:tab/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1"/>
        <w:spacing w:lineRule="auto" w:line="360"/>
        <w:ind w:hanging="0" w:start="0"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רכיב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הקנס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בעונש</w:t>
      </w:r>
    </w:p>
    <w:p>
      <w:pPr>
        <w:pStyle w:val="Normal"/>
        <w:ind w:end="0"/>
        <w:jc w:val="start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hyperlink r:id="rId6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: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7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מצבו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וסובייקטיבי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יכריע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hyperlink r:id="rId7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74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צ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10662/04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המוסד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לביטוח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28.2.2012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שופטים</w:t>
      </w:r>
      <w:r>
        <w:rPr>
          <w:rtl w:val="true"/>
        </w:rPr>
        <w:t xml:space="preserve">).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tl w:val="true"/>
        </w:rPr>
        <w:t xml:space="preserve">, </w:t>
      </w:r>
      <w:r>
        <w:rPr>
          <w:rtl w:val="true"/>
        </w:rPr>
        <w:t>מזון</w:t>
      </w:r>
      <w:r>
        <w:rPr>
          <w:rtl w:val="true"/>
        </w:rPr>
        <w:t xml:space="preserve">, </w:t>
      </w:r>
      <w:r>
        <w:rPr>
          <w:rtl w:val="true"/>
        </w:rPr>
        <w:t>מים</w:t>
      </w:r>
      <w:r>
        <w:rPr>
          <w:rtl w:val="true"/>
        </w:rPr>
        <w:t xml:space="preserve">, </w:t>
      </w:r>
      <w:r>
        <w:rPr>
          <w:rtl w:val="true"/>
        </w:rPr>
        <w:t>חשמל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7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977/13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אודיז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20.2.13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 xml:space="preserve">).  </w:t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₪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30,000</w:t>
      </w:r>
      <w:r>
        <w:rPr>
          <w:rtl w:val="true"/>
        </w:rPr>
        <w:t xml:space="preserve"> ₪.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5,000</w:t>
      </w:r>
      <w:r>
        <w:rPr>
          <w:rtl w:val="true"/>
        </w:rPr>
        <w:t xml:space="preserve"> ₪. 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,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. </w:t>
      </w:r>
      <w:r>
        <w:rPr>
          <w:rtl w:val="true"/>
        </w:rPr>
        <w:t>הפרמטר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>, 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).  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, 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איננה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37,261</w:t>
      </w:r>
      <w:r>
        <w:rPr>
          <w:rtl w:val="true"/>
        </w:rPr>
        <w:t xml:space="preserve"> ₪).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₪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25,000</w:t>
      </w:r>
      <w:r>
        <w:rPr>
          <w:rtl w:val="true"/>
        </w:rPr>
        <w:t xml:space="preserve"> ₪.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.  </w:t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autoSpaceDE w:val="false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autoSpaceDE w:val="false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, </w:t>
      </w:r>
      <w:r>
        <w:rPr>
          <w:rtl w:val="true"/>
        </w:rPr>
        <w:t>הודיה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נשואה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בכלכלת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tl w:val="true"/>
        </w:rPr>
        <w:t xml:space="preserve">.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שפעילותה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הופסקה</w:t>
      </w:r>
      <w:r>
        <w:rPr>
          <w:rtl w:val="true"/>
        </w:rPr>
        <w:t xml:space="preserve">.  </w:t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autoSpaceDE w:val="false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₪.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15.1.14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bookmarkStart w:id="12" w:name="_GoBack"/>
      <w:bookmarkEnd w:id="12"/>
      <w:r>
        <w:rPr>
          <w:rtl w:val="true"/>
        </w:rPr>
        <w:t>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>י</w:t>
      </w:r>
      <w:r>
        <w:rPr>
          <w:rtl w:val="true"/>
        </w:rPr>
        <w:t>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>.</w:t>
      </w:r>
    </w:p>
    <w:p>
      <w:pPr>
        <w:pStyle w:val="Normal"/>
        <w:autoSpaceDE w:val="false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78"/>
      <w:footerReference w:type="default" r:id="rId7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 Unicode MS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23167-10-12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מדינת ישראל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מע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חמדת הטבע 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0"/>
      <w:numFmt w:val="decimal"/>
      <w:lvlText w:val="%1."/>
      <w:lvlJc w:val="start"/>
      <w:pPr>
        <w:tabs>
          <w:tab w:val="num" w:pos="720"/>
        </w:tabs>
        <w:ind w:start="720" w:hanging="360"/>
      </w:pPr>
      <w:rPr>
        <w:rFonts w:cs="Times New Roman"/>
      </w:rPr>
    </w:lvl>
    <w:lvl w:ilvl="1">
      <w:start w:val="1"/>
      <w:numFmt w:val="decimal"/>
      <w:lvlText w:val="%2."/>
      <w:lvlJc w:val="end"/>
      <w:pPr>
        <w:tabs>
          <w:tab w:val="num" w:pos="1440"/>
        </w:tabs>
        <w:ind w:start="1440" w:hanging="360"/>
      </w:pPr>
      <w:rPr>
        <w:rFonts w:cs="Times New Roman"/>
      </w:rPr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abstractNum w:abstractNumId="3">
    <w:lvl w:ilvl="0">
      <w:start w:val="1"/>
      <w:numFmt w:val="decimal"/>
      <w:lvlText w:val="(%1)"/>
      <w:lvlJc w:val="end"/>
      <w:pPr>
        <w:tabs>
          <w:tab w:val="num" w:pos="4680"/>
        </w:tabs>
        <w:ind w:start="468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WW8Num1z0">
    <w:name w:val="WW8Num1z0"/>
    <w:qFormat/>
    <w:rPr>
      <w:rFonts w:cs="Times New Roman"/>
    </w:rPr>
  </w:style>
  <w:style w:type="character" w:styleId="WW8Num1z2">
    <w:name w:val="WW8Num1z2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 Unicode MS" w:hAnsi="Arial TUR;Arial Unicode MS" w:eastAsia="Batang;바탕" w:cs="Times New Roman"/>
      <w:spacing w:val="10"/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117.a" TargetMode="External"/><Relationship Id="rId4" Type="http://schemas.openxmlformats.org/officeDocument/2006/relationships/hyperlink" Target="http://www.nevo.co.il/law/72813/117.a.6" TargetMode="External"/><Relationship Id="rId5" Type="http://schemas.openxmlformats.org/officeDocument/2006/relationships/hyperlink" Target="http://www.nevo.co.il/law/72813/119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40a" TargetMode="External"/><Relationship Id="rId8" Type="http://schemas.openxmlformats.org/officeDocument/2006/relationships/hyperlink" Target="http://www.nevo.co.il/law/70301/40b" TargetMode="External"/><Relationship Id="rId9" Type="http://schemas.openxmlformats.org/officeDocument/2006/relationships/hyperlink" Target="http://www.nevo.co.il/law/70301/40c.a" TargetMode="External"/><Relationship Id="rId10" Type="http://schemas.openxmlformats.org/officeDocument/2006/relationships/hyperlink" Target="http://www.nevo.co.il/law/70301/40h" TargetMode="External"/><Relationship Id="rId11" Type="http://schemas.openxmlformats.org/officeDocument/2006/relationships/hyperlink" Target="http://www.nevo.co.il/law/70301/40i.a.1." TargetMode="External"/><Relationship Id="rId12" Type="http://schemas.openxmlformats.org/officeDocument/2006/relationships/hyperlink" Target="http://www.nevo.co.il/law/70301/40i.a.2" TargetMode="External"/><Relationship Id="rId13" Type="http://schemas.openxmlformats.org/officeDocument/2006/relationships/hyperlink" Target="http://www.nevo.co.il/law/70301/40i.a.3." TargetMode="External"/><Relationship Id="rId14" Type="http://schemas.openxmlformats.org/officeDocument/2006/relationships/hyperlink" Target="http://www.nevo.co.il/law/70301/40i.a.4" TargetMode="External"/><Relationship Id="rId15" Type="http://schemas.openxmlformats.org/officeDocument/2006/relationships/hyperlink" Target="http://www.nevo.co.il/law/84255" TargetMode="External"/><Relationship Id="rId16" Type="http://schemas.openxmlformats.org/officeDocument/2006/relationships/hyperlink" Target="http://www.nevo.co.il/law/84255/216.4" TargetMode="External"/><Relationship Id="rId17" Type="http://schemas.openxmlformats.org/officeDocument/2006/relationships/hyperlink" Target="http://www.nevo.co.il/law/84255/224a" TargetMode="External"/><Relationship Id="rId18" Type="http://schemas.openxmlformats.org/officeDocument/2006/relationships/hyperlink" Target="http://www.nevo.co.il/law/72813/117.a.6" TargetMode="External"/><Relationship Id="rId19" Type="http://schemas.openxmlformats.org/officeDocument/2006/relationships/hyperlink" Target="http://www.nevo.co.il/law/72813/119" TargetMode="External"/><Relationship Id="rId20" Type="http://schemas.openxmlformats.org/officeDocument/2006/relationships/hyperlink" Target="http://www.nevo.co.il/law/72813" TargetMode="External"/><Relationship Id="rId21" Type="http://schemas.openxmlformats.org/officeDocument/2006/relationships/hyperlink" Target="http://www.nevo.co.il/law/72813" TargetMode="External"/><Relationship Id="rId22" Type="http://schemas.openxmlformats.org/officeDocument/2006/relationships/hyperlink" Target="http://www.nevo.co.il/case/5590548" TargetMode="External"/><Relationship Id="rId23" Type="http://schemas.openxmlformats.org/officeDocument/2006/relationships/hyperlink" Target="http://www.nevo.co.il/case/5784905" TargetMode="External"/><Relationship Id="rId24" Type="http://schemas.openxmlformats.org/officeDocument/2006/relationships/hyperlink" Target="http://www.nevo.co.il/case/6049275" TargetMode="External"/><Relationship Id="rId25" Type="http://schemas.openxmlformats.org/officeDocument/2006/relationships/hyperlink" Target="http://www.nevo.co.il/case/5784437" TargetMode="External"/><Relationship Id="rId26" Type="http://schemas.openxmlformats.org/officeDocument/2006/relationships/hyperlink" Target="http://www.nevo.co.il/case/6049275" TargetMode="External"/><Relationship Id="rId27" Type="http://schemas.openxmlformats.org/officeDocument/2006/relationships/hyperlink" Target="http://www.nevo.co.il/law/72813/117.a" TargetMode="External"/><Relationship Id="rId28" Type="http://schemas.openxmlformats.org/officeDocument/2006/relationships/hyperlink" Target="http://www.nevo.co.il/law/72813" TargetMode="External"/><Relationship Id="rId29" Type="http://schemas.openxmlformats.org/officeDocument/2006/relationships/hyperlink" Target="http://www.nevo.co.il/case/5671010" TargetMode="External"/><Relationship Id="rId30" Type="http://schemas.openxmlformats.org/officeDocument/2006/relationships/hyperlink" Target="http://www.nevo.co.il/case/5786326" TargetMode="External"/><Relationship Id="rId31" Type="http://schemas.openxmlformats.org/officeDocument/2006/relationships/hyperlink" Target="http://www.nevo.co.il/case/6041465" TargetMode="External"/><Relationship Id="rId32" Type="http://schemas.openxmlformats.org/officeDocument/2006/relationships/hyperlink" Target="http://www.nevo.co.il/case/5979766" TargetMode="External"/><Relationship Id="rId33" Type="http://schemas.openxmlformats.org/officeDocument/2006/relationships/hyperlink" Target="http://www.nevo.co.il/case/5592483" TargetMode="External"/><Relationship Id="rId34" Type="http://schemas.openxmlformats.org/officeDocument/2006/relationships/hyperlink" Target="http://www.nevo.co.il/case/5964406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40a" TargetMode="External"/><Relationship Id="rId37" Type="http://schemas.openxmlformats.org/officeDocument/2006/relationships/hyperlink" Target="http://www.nevo.co.il/law/70301/40b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40i.a.1.;40i.a.2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40c.a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40i.a.3.;40i.a.4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case/7667123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case/6473037" TargetMode="External"/><Relationship Id="rId50" Type="http://schemas.openxmlformats.org/officeDocument/2006/relationships/hyperlink" Target="http://www.nevo.co.il/law/72813/117.a" TargetMode="External"/><Relationship Id="rId51" Type="http://schemas.openxmlformats.org/officeDocument/2006/relationships/hyperlink" Target="http://www.nevo.co.il/law/72813" TargetMode="External"/><Relationship Id="rId52" Type="http://schemas.openxmlformats.org/officeDocument/2006/relationships/hyperlink" Target="http://www.nevo.co.il/case/6041465" TargetMode="External"/><Relationship Id="rId53" Type="http://schemas.openxmlformats.org/officeDocument/2006/relationships/hyperlink" Target="http://www.nevo.co.il/law/72813/117.a.6" TargetMode="External"/><Relationship Id="rId54" Type="http://schemas.openxmlformats.org/officeDocument/2006/relationships/hyperlink" Target="http://www.nevo.co.il/law/72813" TargetMode="External"/><Relationship Id="rId55" Type="http://schemas.openxmlformats.org/officeDocument/2006/relationships/hyperlink" Target="http://www.nevo.co.il/law/72813/119" TargetMode="External"/><Relationship Id="rId56" Type="http://schemas.openxmlformats.org/officeDocument/2006/relationships/hyperlink" Target="http://www.nevo.co.il/case/5920453" TargetMode="External"/><Relationship Id="rId57" Type="http://schemas.openxmlformats.org/officeDocument/2006/relationships/hyperlink" Target="http://www.nevo.co.il/law/72813/117.a.6" TargetMode="External"/><Relationship Id="rId58" Type="http://schemas.openxmlformats.org/officeDocument/2006/relationships/hyperlink" Target="http://www.nevo.co.il/law/72813" TargetMode="External"/><Relationship Id="rId59" Type="http://schemas.openxmlformats.org/officeDocument/2006/relationships/hyperlink" Target="http://www.nevo.co.il/case/5568778" TargetMode="External"/><Relationship Id="rId60" Type="http://schemas.openxmlformats.org/officeDocument/2006/relationships/hyperlink" Target="http://www.nevo.co.il/law/72813/117.a.6" TargetMode="External"/><Relationship Id="rId61" Type="http://schemas.openxmlformats.org/officeDocument/2006/relationships/hyperlink" Target="http://www.nevo.co.il/law/72813" TargetMode="External"/><Relationship Id="rId62" Type="http://schemas.openxmlformats.org/officeDocument/2006/relationships/hyperlink" Target="http://www.nevo.co.il/law/84255/216.4" TargetMode="External"/><Relationship Id="rId63" Type="http://schemas.openxmlformats.org/officeDocument/2006/relationships/hyperlink" Target="http://www.nevo.co.il/law/84255/224a" TargetMode="External"/><Relationship Id="rId64" Type="http://schemas.openxmlformats.org/officeDocument/2006/relationships/hyperlink" Target="http://www.nevo.co.il/law/84255" TargetMode="External"/><Relationship Id="rId65" Type="http://schemas.openxmlformats.org/officeDocument/2006/relationships/hyperlink" Target="http://www.nevo.co.il/case/5592483" TargetMode="External"/><Relationship Id="rId66" Type="http://schemas.openxmlformats.org/officeDocument/2006/relationships/hyperlink" Target="http://www.nevo.co.il/case/4390947" TargetMode="External"/><Relationship Id="rId67" Type="http://schemas.openxmlformats.org/officeDocument/2006/relationships/hyperlink" Target="http://www.nevo.co.il/law/72813/117.a.6" TargetMode="External"/><Relationship Id="rId68" Type="http://schemas.openxmlformats.org/officeDocument/2006/relationships/hyperlink" Target="http://www.nevo.co.il/law/72813" TargetMode="External"/><Relationship Id="rId69" Type="http://schemas.openxmlformats.org/officeDocument/2006/relationships/hyperlink" Target="http://www.nevo.co.il/law/70301/40h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law/70301/40c.a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law/70301/40h" TargetMode="External"/><Relationship Id="rId74" Type="http://schemas.openxmlformats.org/officeDocument/2006/relationships/hyperlink" Target="http://www.nevo.co.il/case/5779147" TargetMode="External"/><Relationship Id="rId75" Type="http://schemas.openxmlformats.org/officeDocument/2006/relationships/hyperlink" Target="http://www.nevo.co.il/case/5751056" TargetMode="External"/><Relationship Id="rId76" Type="http://schemas.openxmlformats.org/officeDocument/2006/relationships/hyperlink" Target="http://www.nevo.co.il/law/72813" TargetMode="External"/><Relationship Id="rId77" Type="http://schemas.openxmlformats.org/officeDocument/2006/relationships/hyperlink" Target="http://www.nevo.co.il/law/72813" TargetMode="External"/><Relationship Id="rId78" Type="http://schemas.openxmlformats.org/officeDocument/2006/relationships/header" Target="header1.xml"/><Relationship Id="rId79" Type="http://schemas.openxmlformats.org/officeDocument/2006/relationships/footer" Target="footer1.xml"/><Relationship Id="rId80" Type="http://schemas.openxmlformats.org/officeDocument/2006/relationships/numbering" Target="numbering.xml"/><Relationship Id="rId81" Type="http://schemas.openxmlformats.org/officeDocument/2006/relationships/fontTable" Target="fontTable.xml"/><Relationship Id="rId82" Type="http://schemas.openxmlformats.org/officeDocument/2006/relationships/settings" Target="settings.xml"/><Relationship Id="rId8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2016-04-10T14:07:00Z</dcterms:created>
  <dc:creator> </dc:creator>
  <dc:description/>
  <cp:keywords/>
  <dc:language>en-IL</dc:language>
  <cp:lastModifiedBy>run</cp:lastModifiedBy>
  <dcterms:modified xsi:type="dcterms:W3CDTF">2016-04-10T14:07:00Z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- מע#מ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חמדת הטבע בע#מ;מירב רחימוף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5590548;5784905;6049275:2;5784437;5671010;5786326;6041465:2;5979766;5592483:2;5964406;7667123;6473037;5920453;5568778;4390947;5779147;5751056</vt:lpwstr>
  </property>
  <property fmtid="{D5CDD505-2E9C-101B-9397-08002B2CF9AE}" pid="9" name="CITY">
    <vt:lpwstr>רמ'</vt:lpwstr>
  </property>
  <property fmtid="{D5CDD505-2E9C-101B-9397-08002B2CF9AE}" pid="10" name="DATE">
    <vt:lpwstr>20131110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72813/117.a.6:5;119:2;117.a:2</vt:lpwstr>
  </property>
  <property fmtid="{D5CDD505-2E9C-101B-9397-08002B2CF9AE}" pid="15" name="LAWLISTTMP2">
    <vt:lpwstr>70301/040a;040b;040i.a.1;040i.a.2;040c.a:2;040i.a.3;040i.a.4;040h:2</vt:lpwstr>
  </property>
  <property fmtid="{D5CDD505-2E9C-101B-9397-08002B2CF9AE}" pid="16" name="LAWLISTTMP3">
    <vt:lpwstr>84255/216.4;224a</vt:lpwstr>
  </property>
  <property fmtid="{D5CDD505-2E9C-101B-9397-08002B2CF9AE}" pid="17" name="LAWYER">
    <vt:lpwstr>כרמל קדור;קרן זרקו זמיר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23167</vt:lpwstr>
  </property>
  <property fmtid="{D5CDD505-2E9C-101B-9397-08002B2CF9AE}" pid="24" name="NEWPARTB">
    <vt:lpwstr>10</vt:lpwstr>
  </property>
  <property fmtid="{D5CDD505-2E9C-101B-9397-08002B2CF9AE}" pid="25" name="NEWPARTC">
    <vt:lpwstr>12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380020131110</vt:lpwstr>
  </property>
  <property fmtid="{D5CDD505-2E9C-101B-9397-08002B2CF9AE}" pid="36" name="TYPE_N_DATE">
    <vt:lpwstr>38020131110</vt:lpwstr>
  </property>
  <property fmtid="{D5CDD505-2E9C-101B-9397-08002B2CF9AE}" pid="37" name="VOLUME">
    <vt:lpwstr/>
  </property>
  <property fmtid="{D5CDD505-2E9C-101B-9397-08002B2CF9AE}" pid="38" name="WORDNUMPAGES">
    <vt:lpwstr>10</vt:lpwstr>
  </property>
</Properties>
</file>