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23194-02-11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דראושה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סגן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 אברהם אברהם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 דראושה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אור לרנר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בשם 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עוה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דראושה ודרעי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בעצמו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David"/>
        <w:ind w:end="0"/>
        <w:jc w:val="start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>להכרעת</w:t>
      </w:r>
      <w:r>
        <w:rPr>
          <w:rFonts w:eastAsia="David" w:cs="FrankRuehl" w:ascii="FrankRuehl" w:hAnsi="FrankRuehl"/>
          <w:rtl w:val="true"/>
        </w:rPr>
        <w:t>-</w:t>
      </w:r>
      <w:r>
        <w:rPr>
          <w:rFonts w:ascii="FrankRuehl" w:hAnsi="FrankRuehl" w:eastAsia="David" w:cs="FrankRuehl"/>
          <w:rtl w:val="true"/>
        </w:rPr>
        <w:t xml:space="preserve">דין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17-02-2011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מחמוד דראושה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אברהם אברהם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דראושה מוחמד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אילת פלניצקי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06-06-2011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מחמוד דראושה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אברהם אברהם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מוהנד דראושה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בקשה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לדחיית מועד דיון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18-08-2011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מוהנד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דוד חשין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אור לרנר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דראושה ודרעי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05-09-2011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דני צרפתי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מוהנד דראושה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בקשה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לדחיית מועד דיון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22-09-2011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6491/11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רובינשטיין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מוהנד דראושה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בקשה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לדחיית מועד דיון </w:t>
      </w:r>
    </w:p>
    <w:p>
      <w:pPr>
        <w:pStyle w:val="David"/>
        <w:ind w:end="0"/>
        <w:jc w:val="start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</w:p>
    <w:p>
      <w:pPr>
        <w:pStyle w:val="David"/>
        <w:ind w:end="0"/>
        <w:jc w:val="start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start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>להכרעת</w:t>
      </w:r>
      <w:r>
        <w:rPr>
          <w:rFonts w:eastAsia="David" w:cs="FrankRuehl" w:ascii="FrankRuehl" w:hAnsi="FrankRuehl"/>
          <w:rtl w:val="true"/>
        </w:rPr>
        <w:t>-</w:t>
      </w:r>
      <w:r>
        <w:rPr>
          <w:rFonts w:ascii="FrankRuehl" w:hAnsi="FrankRuehl" w:eastAsia="David" w:cs="FrankRuehl"/>
          <w:rtl w:val="true"/>
        </w:rPr>
        <w:t xml:space="preserve">דין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17-02-2011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מחמוד דראושה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אברהם אברהם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דראושה מוחמד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אילת פלניצקי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06-06-2011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מחמוד דראושה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אברהם אברהם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בת עמי ברוט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מוהנד דראושה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18-08-2011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מוהנד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דוד חשין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אור לרנר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דראושה ודרעי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05-09-2011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דני צרפתי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בת עמי ברוט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מוהנד דראושה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22-09-2011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6491/11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רובינשטיין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מוהנד דראושה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בקשה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לדחיית מועד דיון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25-09-2011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6491/11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רובינשטיין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בת עמי ברוט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מוהנד דראושה </w:t>
      </w:r>
    </w:p>
    <w:p>
      <w:pPr>
        <w:pStyle w:val="David"/>
        <w:ind w:end="0"/>
        <w:jc w:val="start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</w:p>
    <w:p>
      <w:pPr>
        <w:pStyle w:val="David"/>
        <w:ind w:end="0"/>
        <w:jc w:val="start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start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  <w:bookmarkStart w:id="3" w:name="Links_Start"/>
      <w:bookmarkStart w:id="4" w:name="Links_Start"/>
      <w:bookmarkEnd w:id="4"/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>להכרעת</w:t>
      </w:r>
      <w:r>
        <w:rPr>
          <w:rFonts w:eastAsia="David" w:cs="FrankRuehl" w:ascii="FrankRuehl" w:hAnsi="FrankRuehl"/>
          <w:rtl w:val="true"/>
        </w:rPr>
        <w:t>-</w:t>
      </w:r>
      <w:r>
        <w:rPr>
          <w:rFonts w:ascii="FrankRuehl" w:hAnsi="FrankRuehl" w:eastAsia="David" w:cs="FrankRuehl"/>
          <w:rtl w:val="true"/>
        </w:rPr>
        <w:t xml:space="preserve">דין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17-02-2011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 xml:space="preserve">מחמוד דראושה </w:t>
      </w:r>
      <w:r>
        <w:rPr>
          <w:rFonts w:eastAsia="David" w:cs="FrankRuehl" w:ascii="FrankRuehl" w:hAnsi="FrankRuehl"/>
          <w:color w:val="000000"/>
          <w:rtl w:val="true"/>
        </w:rPr>
        <w:t>(</w:t>
      </w:r>
      <w:r>
        <w:rPr>
          <w:rFonts w:ascii="FrankRuehl" w:hAnsi="FrankRuehl" w:eastAsia="David" w:cs="FrankRuehl"/>
          <w:color w:val="000000"/>
          <w:rtl w:val="true"/>
        </w:rPr>
        <w:t>עציר</w:t>
      </w:r>
      <w:r>
        <w:rPr>
          <w:rFonts w:eastAsia="David" w:cs="FrankRuehl" w:ascii="FrankRuehl" w:hAnsi="FrankRuehl"/>
          <w:color w:val="000000"/>
          <w:rtl w:val="true"/>
        </w:rPr>
        <w:t>)</w:t>
      </w:r>
      <w:r>
        <w:rPr>
          <w:rFonts w:eastAsia="David" w:cs="FrankRuehl" w:ascii="FrankRuehl" w:hAnsi="FrankRuehl"/>
          <w:rtl w:val="true"/>
        </w:rPr>
        <w:t xml:space="preserve"> </w:t>
      </w:r>
      <w:r>
        <w:rPr>
          <w:rFonts w:ascii="FrankRuehl" w:hAnsi="FrankRuehl" w:eastAsia="David" w:cs="FrankRuehl"/>
          <w:rtl w:val="true"/>
        </w:rPr>
        <w:t>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אברהם אברהם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דראושה מוחמד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אילת פלניצקי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06-06-2011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מדינת ישראל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מחמוד דראושה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אברהם אברהם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בת עמי ברוט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מוהנד דראושה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18-08-2011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מוהנד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דוד חשין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אור לרנר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דראושה ודרעי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במחוזי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05-09-2011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eastAsia="David" w:cs="FrankRuehl"/>
            <w:rtl w:val="true"/>
          </w:rPr>
          <w:t xml:space="preserve">תפ </w:t>
        </w:r>
        <w:r>
          <w:rPr>
            <w:rStyle w:val="Hyperlink"/>
            <w:rFonts w:eastAsia="David" w:cs="FrankRuehl" w:ascii="FrankRuehl" w:hAnsi="FrankRuehl"/>
          </w:rPr>
          <w:t>23194-02-11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דני צרפתי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בת עמי ברוט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מוהנד דראושה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22-09-2011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7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6491/11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רובינשטיין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מוהנד דראושה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בקשה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לדחיית מועד דיון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25-09-2011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8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6491/11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א</w:t>
      </w:r>
      <w:r>
        <w:rPr>
          <w:rFonts w:eastAsia="David" w:cs="FrankRuehl" w:ascii="FrankRuehl" w:hAnsi="FrankRuehl"/>
          <w:rtl w:val="true"/>
        </w:rPr>
        <w:t xml:space="preserve">' </w:t>
      </w:r>
      <w:r>
        <w:rPr>
          <w:rFonts w:ascii="FrankRuehl" w:hAnsi="FrankRuehl" w:eastAsia="David" w:cs="FrankRuehl"/>
          <w:rtl w:val="true"/>
        </w:rPr>
        <w:t>רובינשטיין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>עו</w:t>
      </w:r>
      <w:r>
        <w:rPr>
          <w:rFonts w:eastAsia="David" w:cs="FrankRuehl" w:ascii="FrankRuehl" w:hAnsi="FrankRuehl"/>
          <w:rtl w:val="true"/>
        </w:rPr>
        <w:t>"</w:t>
      </w:r>
      <w:r>
        <w:rPr>
          <w:rFonts w:ascii="FrankRuehl" w:hAnsi="FrankRuehl" w:eastAsia="David" w:cs="FrankRuehl"/>
          <w:rtl w:val="true"/>
        </w:rPr>
        <w:t>ד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בת עמי ברוט</w:t>
      </w:r>
      <w:r>
        <w:rPr>
          <w:rFonts w:eastAsia="David" w:cs="FrankRuehl" w:ascii="FrankRuehl" w:hAnsi="FrankRuehl"/>
          <w:rtl w:val="true"/>
        </w:rPr>
        <w:t xml:space="preserve">, </w:t>
      </w:r>
      <w:r>
        <w:rPr>
          <w:rFonts w:ascii="FrankRuehl" w:hAnsi="FrankRuehl" w:eastAsia="David" w:cs="FrankRuehl"/>
          <w:rtl w:val="true"/>
        </w:rPr>
        <w:t xml:space="preserve">מוהנד דראושה </w:t>
      </w:r>
    </w:p>
    <w:p>
      <w:pPr>
        <w:pStyle w:val="Davi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eastAsia="David" w:cs="FrankRuehl"/>
          <w:rtl w:val="true"/>
        </w:rPr>
        <w:t xml:space="preserve">להחלטה בעליון </w:t>
      </w:r>
      <w:r>
        <w:rPr>
          <w:rFonts w:eastAsia="David" w:cs="FrankRuehl" w:ascii="FrankRuehl" w:hAnsi="FrankRuehl"/>
          <w:rtl w:val="true"/>
        </w:rPr>
        <w:t>(</w:t>
      </w:r>
      <w:r>
        <w:rPr>
          <w:rFonts w:eastAsia="David" w:cs="FrankRuehl" w:ascii="FrankRuehl" w:hAnsi="FrankRuehl"/>
        </w:rPr>
        <w:t>30-10-2011</w:t>
      </w:r>
      <w:r>
        <w:rPr>
          <w:rFonts w:eastAsia="David" w:cs="FrankRuehl" w:ascii="FrankRuehl" w:hAnsi="FrankRuehl"/>
          <w:rtl w:val="true"/>
        </w:rPr>
        <w:t xml:space="preserve">): </w:t>
      </w:r>
      <w:hyperlink r:id="rId19">
        <w:r>
          <w:rPr>
            <w:rStyle w:val="Hyperlink"/>
            <w:rFonts w:ascii="FrankRuehl" w:hAnsi="FrankRuehl" w:eastAsia="David" w:cs="FrankRuehl"/>
            <w:rtl w:val="true"/>
          </w:rPr>
          <w:t xml:space="preserve">עפ </w:t>
        </w:r>
        <w:r>
          <w:rPr>
            <w:rStyle w:val="Hyperlink"/>
            <w:rFonts w:eastAsia="David" w:cs="FrankRuehl" w:ascii="FrankRuehl" w:hAnsi="FrankRuehl"/>
          </w:rPr>
          <w:t>6491/11</w:t>
        </w:r>
      </w:hyperlink>
      <w:r>
        <w:rPr>
          <w:rFonts w:eastAsia="David"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eastAsia="David" w:cs="FrankRuehl"/>
          <w:color w:val="000000"/>
          <w:rtl w:val="true"/>
        </w:rPr>
        <w:t>מחמוד דראושה נ</w:t>
      </w:r>
      <w:r>
        <w:rPr>
          <w:rFonts w:eastAsia="David"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eastAsia="David" w:cs="FrankRuehl"/>
          <w:color w:val="000000"/>
          <w:rtl w:val="true"/>
        </w:rPr>
        <w:t>מדינת ישראל</w:t>
      </w:r>
      <w:r>
        <w:rPr>
          <w:rFonts w:ascii="FrankRuehl" w:hAnsi="FrankRuehl" w:eastAsia="David" w:cs="FrankRuehl"/>
          <w:rtl w:val="true"/>
        </w:rPr>
        <w:t xml:space="preserve"> שופטים</w:t>
      </w:r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גיא שני</w:t>
      </w:r>
    </w:p>
    <w:p>
      <w:pPr>
        <w:pStyle w:val="David"/>
        <w:ind w:end="0"/>
        <w:jc w:val="start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  <w:bookmarkStart w:id="5" w:name="Links_End"/>
      <w:bookmarkStart w:id="6" w:name="Links_End"/>
      <w:bookmarkEnd w:id="6"/>
    </w:p>
    <w:p>
      <w:pPr>
        <w:pStyle w:val="David"/>
        <w:ind w:end="0"/>
        <w:jc w:val="start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  <w:bookmarkStart w:id="7" w:name="LawTable"/>
      <w:bookmarkStart w:id="8" w:name="LawTable"/>
      <w:bookmarkEnd w:id="8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sz w:val="28"/>
          <w:szCs w:val="28"/>
        </w:rPr>
      </w:pPr>
      <w:r>
        <w:rPr>
          <w:rFonts w:eastAsia="David" w:cs="FrankRuehl" w:ascii="FrankRuehl" w:hAnsi="FrankRuehl"/>
          <w:sz w:val="28"/>
          <w:szCs w:val="28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ascii="FrankRuehl" w:hAnsi="FrankRuehl" w:eastAsia="David" w:cs="FrankRuehl"/>
          <w:rtl w:val="true"/>
        </w:rPr>
        <w:t>חקיקה שאוזכרה</w:t>
      </w:r>
      <w:r>
        <w:rPr>
          <w:rFonts w:eastAsia="David" w:cs="FrankRuehl" w:ascii="FrankRuehl" w:hAnsi="FrankRuehl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0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21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David"/>
        <w:ind w:end="0"/>
        <w:jc w:val="start"/>
        <w:rPr>
          <w:rFonts w:ascii="Arial" w:hAnsi="Arial" w:eastAsia="David" w:cs="Arial"/>
          <w:sz w:val="28"/>
          <w:szCs w:val="28"/>
        </w:rPr>
      </w:pPr>
      <w:r>
        <w:rPr>
          <w:rFonts w:eastAsia="David" w:cs="Arial" w:ascii="Arial" w:hAnsi="Arial"/>
          <w:sz w:val="28"/>
          <w:szCs w:val="28"/>
          <w:rtl w:val="true"/>
        </w:rPr>
      </w:r>
      <w:bookmarkStart w:id="9" w:name="LawTable_End"/>
      <w:bookmarkStart w:id="10" w:name="LawTable_End"/>
      <w:bookmarkEnd w:id="10"/>
    </w:p>
    <w:p>
      <w:pPr>
        <w:pStyle w:val="David"/>
        <w:ind w:end="0"/>
        <w:jc w:val="start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start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  <w:bookmarkStart w:id="11" w:name="Links_Start"/>
      <w:bookmarkStart w:id="12" w:name="Links_Start"/>
      <w:bookmarkEnd w:id="12"/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13" w:name="PsakDin"/>
      <w:bookmarkEnd w:id="1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bookmarkStart w:id="16" w:name="ABSTRACT_START"/>
      <w:bookmarkEnd w:id="16"/>
      <w:r>
        <w:rPr>
          <w:rFonts w:ascii="d;Times New Roman" w:hAnsi="d;Times New Roman" w:cs="d;Times New Roman"/>
          <w:rtl w:val="true"/>
        </w:rPr>
        <w:t>כתב אישום שהוגש בידי המאשימה מתאר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כי בשנת </w:t>
      </w:r>
      <w:r>
        <w:rPr>
          <w:rFonts w:cs="d;Times New Roman" w:ascii="d;Times New Roman" w:hAnsi="d;Times New Roman"/>
        </w:rPr>
        <w:t>2005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 xml:space="preserve">הצטייד הנאשם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ascii="d;Times New Roman" w:hAnsi="d;Times New Roman" w:cs="d;Times New Roman"/>
          <w:rtl w:val="true"/>
        </w:rPr>
        <w:t xml:space="preserve">יליד </w:t>
      </w:r>
      <w:r>
        <w:rPr>
          <w:rFonts w:cs="d;Times New Roman" w:ascii="d;Times New Roman" w:hAnsi="d;Times New Roman"/>
        </w:rPr>
        <w:t>1968</w:t>
      </w:r>
      <w:r>
        <w:rPr>
          <w:rFonts w:cs="d;Times New Roman" w:ascii="d;Times New Roman" w:hAnsi="d;Times New Roman"/>
          <w:rtl w:val="true"/>
        </w:rPr>
        <w:t xml:space="preserve">) </w:t>
      </w:r>
      <w:r>
        <w:rPr>
          <w:rFonts w:ascii="d;Times New Roman" w:hAnsi="d;Times New Roman" w:cs="d;Times New Roman"/>
          <w:rtl w:val="true"/>
        </w:rPr>
        <w:t xml:space="preserve">באקדח </w:t>
      </w:r>
      <w:r>
        <w:rPr>
          <w:rFonts w:cs="d;Times New Roman" w:ascii="d;Times New Roman" w:hAnsi="d;Times New Roman"/>
        </w:rPr>
        <w:t>9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מ</w:t>
      </w:r>
      <w:r>
        <w:rPr>
          <w:rFonts w:cs="d;Times New Roman" w:ascii="d;Times New Roman" w:hAnsi="d;Times New Roman"/>
          <w:rtl w:val="true"/>
        </w:rPr>
        <w:t>"</w:t>
      </w:r>
      <w:r>
        <w:rPr>
          <w:rFonts w:ascii="d;Times New Roman" w:hAnsi="d;Times New Roman" w:cs="d;Times New Roman"/>
          <w:rtl w:val="true"/>
        </w:rPr>
        <w:t>מ מסוג בראונינג ובמחסנית ובה כדורים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נשאם לביתו והטמינם בכספת שבחדר השינה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 xml:space="preserve">ימים אחדים אחר כך הוא נשאם למקום הסמוך לכביש הראשי שבכפר מגוריו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ascii="d;Times New Roman" w:hAnsi="d;Times New Roman" w:cs="d;Times New Roman"/>
          <w:rtl w:val="true"/>
        </w:rPr>
        <w:t>אכסאל</w:t>
      </w:r>
      <w:r>
        <w:rPr>
          <w:rFonts w:cs="d;Times New Roman" w:ascii="d;Times New Roman" w:hAnsi="d;Times New Roman"/>
          <w:rtl w:val="true"/>
        </w:rPr>
        <w:t xml:space="preserve">), </w:t>
      </w:r>
      <w:r>
        <w:rPr>
          <w:rFonts w:ascii="d;Times New Roman" w:hAnsi="d;Times New Roman" w:cs="d;Times New Roman"/>
          <w:rtl w:val="true"/>
        </w:rPr>
        <w:t>ואחר כך שב והחביא את האקדח והמחסנית עם הכדורים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כשהאקדח טעון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בכספת שבביתו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משום המעשים הללו הואשם הנאשם ב</w:t>
      </w:r>
      <w:r>
        <w:rPr>
          <w:rFonts w:ascii="d;Times New Roman" w:hAnsi="d;Times New Roman" w:cs="d;Times New Roman"/>
          <w:b/>
          <w:b/>
          <w:bCs/>
          <w:rtl w:val="true"/>
        </w:rPr>
        <w:t>נשיאה והובלה של נשק</w:t>
      </w:r>
      <w:r>
        <w:rPr>
          <w:rFonts w:ascii="d;Times New Roman" w:hAnsi="d;Times New Roman" w:cs="d;Times New Roman"/>
          <w:rtl w:val="true"/>
        </w:rPr>
        <w:t xml:space="preserve"> </w:t>
      </w:r>
      <w:r>
        <w:rPr>
          <w:rFonts w:cs="d;Times New Roman" w:ascii="d;Times New Roman" w:hAnsi="d;Times New Roman"/>
          <w:rtl w:val="true"/>
        </w:rPr>
        <w:t>(</w:t>
      </w:r>
      <w:hyperlink r:id="rId22">
        <w:r>
          <w:rPr>
            <w:rStyle w:val="Hyperlink"/>
            <w:rFonts w:ascii="d;Times New Roman" w:hAnsi="d;Times New Roman" w:cs="d;Times New Roman"/>
            <w:color w:val="0000FF"/>
            <w:u w:val="single"/>
            <w:rtl w:val="true"/>
          </w:rPr>
          <w:t>ס</w:t>
        </w:r>
        <w:r>
          <w:rPr>
            <w:rStyle w:val="Hyperlink"/>
            <w:rFonts w:cs="d;Times New Roman" w:ascii="d;Times New Roman" w:hAnsi="d;Times New Roman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cs="d;Times New Roman" w:ascii="d;Times New Roman" w:hAnsi="d;Times New Roman"/>
            <w:color w:val="0000FF"/>
            <w:u w:val="single"/>
          </w:rPr>
          <w:t>144</w:t>
        </w:r>
        <w:r>
          <w:rPr>
            <w:rStyle w:val="Hyperlink"/>
            <w:rFonts w:cs="d;Times New Roman" w:ascii="d;Times New Roman" w:hAnsi="d;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d;Times New Roman" w:hAnsi="d;Times New Roman" w:cs="d;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d;Times New Roman" w:ascii="d;Times New Roman" w:hAnsi="d;Times New Roman"/>
            <w:color w:val="0000FF"/>
            <w:u w:val="single"/>
            <w:rtl w:val="true"/>
          </w:rPr>
          <w:t>)</w:t>
        </w:r>
      </w:hyperlink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רישא וסיפא ל</w:t>
      </w:r>
      <w:hyperlink r:id="rId23">
        <w:r>
          <w:rPr>
            <w:rStyle w:val="Hyperlink"/>
            <w:rFonts w:ascii="d;Times New Roman" w:hAnsi="d;Times New Roman" w:cs="d;Times New Roman"/>
            <w:rtl w:val="true"/>
          </w:rPr>
          <w:t>חוק</w:t>
        </w:r>
        <w:r>
          <w:rPr>
            <w:rStyle w:val="Hyperlink"/>
            <w:rFonts w:ascii="d;Times New Roman" w:hAnsi="d;Times New Roman" w:cs="d;Times New Roman"/>
            <w:rtl w:val="true"/>
          </w:rPr>
          <w:t xml:space="preserve"> </w:t>
        </w:r>
        <w:r>
          <w:rPr>
            <w:rStyle w:val="Hyperlink"/>
            <w:rFonts w:ascii="d;Times New Roman" w:hAnsi="d;Times New Roman" w:cs="d;Times New Roman"/>
            <w:rtl w:val="true"/>
          </w:rPr>
          <w:t>העונשין</w:t>
        </w:r>
      </w:hyperlink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התשל</w:t>
      </w:r>
      <w:r>
        <w:rPr>
          <w:rFonts w:cs="d;Times New Roman" w:ascii="d;Times New Roman" w:hAnsi="d;Times New Roman"/>
          <w:rtl w:val="true"/>
        </w:rPr>
        <w:t>"</w:t>
      </w:r>
      <w:r>
        <w:rPr>
          <w:rFonts w:ascii="d;Times New Roman" w:hAnsi="d;Times New Roman" w:cs="d;Times New Roman"/>
          <w:rtl w:val="true"/>
        </w:rPr>
        <w:t>ז</w:t>
      </w:r>
      <w:r>
        <w:rPr>
          <w:rFonts w:cs="d;Times New Roman" w:ascii="d;Times New Roman" w:hAnsi="d;Times New Roman"/>
          <w:rtl w:val="true"/>
        </w:rPr>
        <w:t>-</w:t>
      </w:r>
      <w:r>
        <w:rPr>
          <w:rFonts w:cs="d;Times New Roman" w:ascii="d;Times New Roman" w:hAnsi="d;Times New Roman"/>
        </w:rPr>
        <w:t>1977</w:t>
      </w:r>
      <w:r>
        <w:rPr>
          <w:rFonts w:cs="d;Times New Roman" w:ascii="d;Times New Roman" w:hAnsi="d;Times New Roman"/>
          <w:rtl w:val="true"/>
        </w:rPr>
        <w:t>).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bookmarkStart w:id="17" w:name="ABSTRACT_END"/>
      <w:bookmarkEnd w:id="17"/>
      <w:r>
        <w:rPr>
          <w:rFonts w:ascii="d;Times New Roman" w:hAnsi="d;Times New Roman" w:cs="d;Times New Roman"/>
          <w:rtl w:val="true"/>
        </w:rPr>
        <w:t>עם פתיחת משפטו הודה הנאשם והורשע בעבירות שיוחסו לו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במסגרת הסדר טיעון בו תוקן כתב האישום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ascii="d;Times New Roman" w:hAnsi="d;Times New Roman" w:cs="d;Times New Roman"/>
          <w:rtl w:val="true"/>
        </w:rPr>
        <w:t>התיאור המובא מעלה משקף את שנאמר בכתב האישום המתוקן</w:t>
      </w:r>
      <w:r>
        <w:rPr>
          <w:rFonts w:cs="d;Times New Roman" w:ascii="d;Times New Roman" w:hAnsi="d;Times New Roman"/>
          <w:rtl w:val="true"/>
        </w:rPr>
        <w:t xml:space="preserve">). </w:t>
      </w:r>
      <w:r>
        <w:rPr>
          <w:rFonts w:ascii="d;Times New Roman" w:hAnsi="d;Times New Roman" w:cs="d;Times New Roman"/>
          <w:rtl w:val="true"/>
        </w:rPr>
        <w:t>בעלי הדין לא באו לכלל הסכמה אודות העונש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עם זאת הם הסכימו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בטרם אגזור את הדין יינתן תסקיר מבחן בעניינו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ותסקיר מבחן אמנם ניתן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והוא מתאר את הנאשם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כבן </w:t>
      </w:r>
      <w:r>
        <w:rPr>
          <w:rFonts w:cs="d;Times New Roman" w:ascii="d;Times New Roman" w:hAnsi="d;Times New Roman"/>
        </w:rPr>
        <w:t>43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היום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כאיש משפחה החיי חיים נורמטיביים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ועובד לפרנסת משפחתו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ascii="d;Times New Roman" w:hAnsi="d;Times New Roman" w:cs="d;Times New Roman"/>
          <w:rtl w:val="true"/>
        </w:rPr>
        <w:t>הכוללת אישה וששה ילדים</w:t>
      </w:r>
      <w:r>
        <w:rPr>
          <w:rFonts w:cs="d;Times New Roman" w:ascii="d;Times New Roman" w:hAnsi="d;Times New Roman"/>
          <w:rtl w:val="true"/>
        </w:rPr>
        <w:t xml:space="preserve">) </w:t>
      </w:r>
      <w:r>
        <w:rPr>
          <w:rFonts w:ascii="d;Times New Roman" w:hAnsi="d;Times New Roman" w:cs="d;Times New Roman"/>
          <w:rtl w:val="true"/>
        </w:rPr>
        <w:t>ופרנסת הוריו החולים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התלויים בו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קצין המבחן מתאר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הנאשם אינו מגלה מודעות לחומרת מעשי העבירה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והתייחסותו למעשים הינה שטחית ולא בוגרת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טען באזני קצין המבחן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פעל בתום לב בהצטיידות באקדח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והתקשה להתחבר לצד הבעייתי בהתנהגותו ולמניעיו האמיתיים בהחזקת האקדח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ועוד מתאר שירות המבחן בתסקירו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הנאשם עובד כקבלן באופן יציב ובהתמדה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ומפרנס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כאמור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את משפחתו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קצין המבחן מעריך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השתת מאסר בפועל עלולה לקטוע את רצף חייו הנורמטיבי של הנאשם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ולפגוע קשות בפרנסת משפחתו ובהתחייבויותיו ללקוחותיו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מכאן באה המלצת שירות המבחן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אם יוטל על הנאשם עונש מאסר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הוא ייעשה בעבודת שירות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בעבר הורשע הנאשם פעמיים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 xml:space="preserve">בראשונה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cs="d;Times New Roman" w:ascii="d;Times New Roman" w:hAnsi="d;Times New Roman"/>
        </w:rPr>
        <w:t>1995</w:t>
      </w:r>
      <w:r>
        <w:rPr>
          <w:rFonts w:cs="d;Times New Roman" w:ascii="d;Times New Roman" w:hAnsi="d;Times New Roman"/>
          <w:rtl w:val="true"/>
        </w:rPr>
        <w:t xml:space="preserve">) </w:t>
      </w:r>
      <w:r>
        <w:rPr>
          <w:rFonts w:ascii="d;Times New Roman" w:hAnsi="d;Times New Roman" w:cs="d;Times New Roman"/>
          <w:rtl w:val="true"/>
        </w:rPr>
        <w:t>הוא הורשע בגרימת שריפה ברשלנות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ובשניה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cs="d;Times New Roman" w:ascii="d;Times New Roman" w:hAnsi="d;Times New Roman"/>
        </w:rPr>
        <w:t>2004</w:t>
      </w:r>
      <w:r>
        <w:rPr>
          <w:rFonts w:cs="d;Times New Roman" w:ascii="d;Times New Roman" w:hAnsi="d;Times New Roman"/>
          <w:rtl w:val="true"/>
        </w:rPr>
        <w:t xml:space="preserve">) – </w:t>
      </w:r>
      <w:r>
        <w:rPr>
          <w:rFonts w:ascii="d;Times New Roman" w:hAnsi="d;Times New Roman" w:cs="d;Times New Roman"/>
          <w:rtl w:val="true"/>
        </w:rPr>
        <w:t>בתקיפה בתנאים מחמירים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באיומים ותקיפה הגורמת חבלה של ממש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מעבר לכך חי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כאמור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הנאשם חיים נורמטיביים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לטובת הנאשם העידו עדי אופי אחדים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שתיארוהו כ</w:t>
      </w:r>
      <w:r>
        <w:rPr>
          <w:rFonts w:cs="d;Times New Roman" w:ascii="d;Times New Roman" w:hAnsi="d;Times New Roman"/>
          <w:rtl w:val="true"/>
        </w:rPr>
        <w:t>'</w:t>
      </w:r>
      <w:r>
        <w:rPr>
          <w:rFonts w:ascii="d;Times New Roman" w:hAnsi="d;Times New Roman" w:cs="d;Times New Roman"/>
          <w:rtl w:val="true"/>
        </w:rPr>
        <w:t>אדם טוב</w:t>
      </w:r>
      <w:r>
        <w:rPr>
          <w:rFonts w:cs="d;Times New Roman" w:ascii="d;Times New Roman" w:hAnsi="d;Times New Roman"/>
          <w:rtl w:val="true"/>
        </w:rPr>
        <w:t xml:space="preserve">', </w:t>
      </w:r>
      <w:r>
        <w:rPr>
          <w:rFonts w:ascii="d;Times New Roman" w:hAnsi="d;Times New Roman" w:cs="d;Times New Roman"/>
          <w:rtl w:val="true"/>
        </w:rPr>
        <w:t>רציני ושקט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המרוכז בפרנסת משפחתו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בטיעוניו לעונש הדגיש התובע המלומד את חומרת העבירה בה הורשע הנאשם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עבירה שהיתה למכת מדינה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חומרה הנובעת מפוטנציאל הפשיעה הטמון בהחזקת נשק ונשיאתו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עמד על הצורך בהרתעת הנאשם והרתעת הרבים בעבירות מסוג זה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הרתעה שתושג אם יושת על הנאשם מאסר בפועל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שייעשה מאחורי סורג ובריח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הפנה לפסיקת בתי המשפט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שבעת האחרונה החמירו מאוד בענישתם של עבריינים דוגמת הנאשם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גם כאשר מדובר באדם נורמטיבי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הנעדר הרשעות קודמות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הפנה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בין היתר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ל</w:t>
      </w:r>
      <w:hyperlink r:id="rId24">
        <w:r>
          <w:rPr>
            <w:rStyle w:val="Hyperlink"/>
            <w:rFonts w:ascii="d;Times New Roman" w:hAnsi="d;Times New Roman" w:cs="d;Times New Roman"/>
            <w:rtl w:val="true"/>
          </w:rPr>
          <w:t>ע</w:t>
        </w:r>
        <w:r>
          <w:rPr>
            <w:rStyle w:val="Hyperlink"/>
            <w:rFonts w:cs="d;Times New Roman" w:ascii="d;Times New Roman" w:hAnsi="d;Times New Roman"/>
            <w:rtl w:val="true"/>
          </w:rPr>
          <w:t>"</w:t>
        </w:r>
        <w:r>
          <w:rPr>
            <w:rStyle w:val="Hyperlink"/>
            <w:rFonts w:ascii="d;Times New Roman" w:hAnsi="d;Times New Roman" w:cs="d;Times New Roman"/>
            <w:rtl w:val="true"/>
          </w:rPr>
          <w:t>פ</w:t>
        </w:r>
        <w:r>
          <w:rPr>
            <w:rStyle w:val="Hyperlink"/>
            <w:rFonts w:ascii="d;Times New Roman" w:hAnsi="d;Times New Roman" w:cs="d;Times New Roman"/>
            <w:rtl w:val="true"/>
          </w:rPr>
          <w:t xml:space="preserve"> </w:t>
        </w:r>
        <w:r>
          <w:rPr>
            <w:rStyle w:val="Hyperlink"/>
            <w:rFonts w:cs="d;Times New Roman" w:ascii="d;Times New Roman" w:hAnsi="d;Times New Roman"/>
          </w:rPr>
          <w:t>4329/10</w:t>
        </w:r>
      </w:hyperlink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b/>
          <w:b/>
          <w:bCs/>
          <w:rtl w:val="true"/>
        </w:rPr>
        <w:t>אסמעיל נ</w:t>
      </w:r>
      <w:r>
        <w:rPr>
          <w:rFonts w:cs="d;Times New Roman" w:ascii="d;Times New Roman" w:hAnsi="d;Times New Roman"/>
          <w:b/>
          <w:bCs/>
          <w:rtl w:val="true"/>
        </w:rPr>
        <w:t xml:space="preserve">' </w:t>
      </w:r>
      <w:r>
        <w:rPr>
          <w:rFonts w:ascii="d;Times New Roman" w:hAnsi="d;Times New Roman" w:cs="d;Times New Roman"/>
          <w:b/>
          <w:b/>
          <w:bCs/>
          <w:rtl w:val="true"/>
        </w:rPr>
        <w:t>מדינת ישראל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שדחה ערעור על גזר דין שנפסק בבית משפט זה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ascii="d;Times New Roman" w:hAnsi="d;Times New Roman" w:cs="d;Times New Roman"/>
          <w:rtl w:val="true"/>
        </w:rPr>
        <w:t>כב</w:t>
      </w:r>
      <w:r>
        <w:rPr>
          <w:rFonts w:cs="d;Times New Roman" w:ascii="d;Times New Roman" w:hAnsi="d;Times New Roman"/>
          <w:rtl w:val="true"/>
        </w:rPr>
        <w:t xml:space="preserve">' </w:t>
      </w:r>
      <w:r>
        <w:rPr>
          <w:rFonts w:ascii="d;Times New Roman" w:hAnsi="d;Times New Roman" w:cs="d;Times New Roman"/>
          <w:rtl w:val="true"/>
        </w:rPr>
        <w:t>סגן הנשיא ת</w:t>
      </w:r>
      <w:r>
        <w:rPr>
          <w:rFonts w:cs="d;Times New Roman" w:ascii="d;Times New Roman" w:hAnsi="d;Times New Roman"/>
          <w:rtl w:val="true"/>
        </w:rPr>
        <w:t xml:space="preserve">' </w:t>
      </w:r>
      <w:r>
        <w:rPr>
          <w:rFonts w:ascii="d;Times New Roman" w:hAnsi="d;Times New Roman" w:cs="d;Times New Roman"/>
          <w:rtl w:val="true"/>
        </w:rPr>
        <w:t>כתילי</w:t>
      </w:r>
      <w:r>
        <w:rPr>
          <w:rFonts w:cs="d;Times New Roman" w:ascii="d;Times New Roman" w:hAnsi="d;Times New Roman"/>
          <w:rtl w:val="true"/>
        </w:rPr>
        <w:t xml:space="preserve">) </w:t>
      </w:r>
      <w:r>
        <w:rPr>
          <w:rFonts w:ascii="d;Times New Roman" w:hAnsi="d;Times New Roman" w:cs="d;Times New Roman"/>
          <w:rtl w:val="true"/>
        </w:rPr>
        <w:t>והשית על הנאשם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בין היתר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מאסר בפועל בן </w:t>
      </w:r>
      <w:r>
        <w:rPr>
          <w:rFonts w:cs="d;Times New Roman" w:ascii="d;Times New Roman" w:hAnsi="d;Times New Roman"/>
        </w:rPr>
        <w:t>20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חדשים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חרף המלצתו של שירות המבחן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שהמליץ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כבענייננו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על מאסר שייעשה בעבודת שירות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ועוד טוען התובע הנכבד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תסקיר המבחן מגלה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הנאשם איננו מבין את חומרת מעשיו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ללמדך על הסכנה הנשקפת הימנו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נוכח כל הדברים הללו מבקש התובע לגזור על הנאשם מאסר בפועל שייעשה מאחורי סורג ובריח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מאסר מותנה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וכן קנס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הסניגור המלומד טען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בתורו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עניין לנו באדם נורמטיבי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שמעד מעידה חד פעמית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כאשר את העבירה המדוברת יש לדרג בתחתית סולם הדרגות של עבירות הנשק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ביקש לראות לקולא את העובדה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הנאשם הודה בהזדמנות הראשונה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הן במשטרה והן בפני בית המשפט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הפנה עוד לכך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שהעבירה נעברה בשנת </w:t>
      </w:r>
      <w:r>
        <w:rPr>
          <w:rFonts w:cs="d;Times New Roman" w:ascii="d;Times New Roman" w:hAnsi="d;Times New Roman"/>
        </w:rPr>
        <w:t>2005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ולכך יש משקל לקולה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בבוא בית המשפט לגזור את העונש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ביקש לקבל את המלצת שירות המבחן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ולגזור על הנאשם מאסר שייעשה בעבודת שירות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לשם כך הוא נתמך בפסקי דין אחדים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בהם גזרו בתי המשפט על מי שהורשעו בעבירות נשק עונשי מאסר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שנעשו בעבודת שירות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דגש שם הסניגור המלומד על היות הנאשם אדם נורמטיבי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העובד לפרנסת משפחתו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ועבודתו מפרנסת כ</w:t>
      </w:r>
      <w:r>
        <w:rPr>
          <w:rFonts w:cs="d;Times New Roman" w:ascii="d;Times New Roman" w:hAnsi="d;Times New Roman"/>
          <w:rtl w:val="true"/>
        </w:rPr>
        <w:t>-</w:t>
      </w:r>
      <w:r>
        <w:rPr>
          <w:rFonts w:cs="d;Times New Roman" w:ascii="d;Times New Roman" w:hAnsi="d;Times New Roman"/>
        </w:rPr>
        <w:t>10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משפחות נוספות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בהיותו קבלן המעסיק עובדים רבים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מאסר בפועל שייעשה בבית הכלא יפגע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כך הסניגור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ברצף חייו של הנאשם ובפרנסת משפחתו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ובכלל זה הוריו החולים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התלויים בו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הנאשם ביקש להביע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בסופו של דיון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חרטה על המעשה שעשה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וביקש כי תינתן לו הזדמנות נוספת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הוא ציין את שציינו לפניו קצין המבחן והסניגור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הינו מפרנס יחיד של משפחתו המורחבת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שכולה תלויה בו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אלו הם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אם כן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הדברים שהובאו לפניי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אכן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לטובת הנאשם יש לראות את העובדה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הוא הודה בהזדמנות הראשונה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הן במשטרה והן בבית המשפט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ובכך חסך משאבים מן התביעה ומבית המשפט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עוד יש לראות לקולא את העובדה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העבירה המדוברת נעברה לפני כשש שנים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אם כי לא הובהר לי מדוע רק עתה הועמד הנאשם לדין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מפי הסניגור נאמר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בהגינות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רק סמוך לפני הגשת כתב האישום נודע למאשימה דבר העבירה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וזהו הטעם להגשתו בעת הזו ולא קודם לכן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עם זאת אינני יודע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האם הנאשם החזיק בנשק מאז הצטייד בו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ascii="d;Times New Roman" w:hAnsi="d;Times New Roman" w:cs="d;Times New Roman"/>
          <w:rtl w:val="true"/>
        </w:rPr>
        <w:t xml:space="preserve">בשנת </w:t>
      </w:r>
      <w:r>
        <w:rPr>
          <w:rFonts w:cs="d;Times New Roman" w:ascii="d;Times New Roman" w:hAnsi="d;Times New Roman"/>
        </w:rPr>
        <w:t>2005</w:t>
      </w:r>
      <w:r>
        <w:rPr>
          <w:rFonts w:cs="d;Times New Roman" w:ascii="d;Times New Roman" w:hAnsi="d;Times New Roman"/>
          <w:rtl w:val="true"/>
        </w:rPr>
        <w:t xml:space="preserve">) </w:t>
      </w:r>
      <w:r>
        <w:rPr>
          <w:rFonts w:ascii="d;Times New Roman" w:hAnsi="d;Times New Roman" w:cs="d;Times New Roman"/>
          <w:rtl w:val="true"/>
        </w:rPr>
        <w:t>ועד שהועמד לדין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לטובתו עליי להניח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הדברים אינם כך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שכן כתב האישום איננו מתאר תיאור שכזה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 xml:space="preserve">כל שיש לפניי – האירוע שארע בשנת </w:t>
      </w:r>
      <w:r>
        <w:rPr>
          <w:rFonts w:cs="d;Times New Roman" w:ascii="d;Times New Roman" w:hAnsi="d;Times New Roman"/>
        </w:rPr>
        <w:t>2005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ורק בכך אתחשב בגזירת הדין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כאמור מעלה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יש לראות לקולא את העובדה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שחלפו שש שנים מאז נעברה העבירה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ומאז לא הורשע הנאשם בעבירה כלשהי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לטובת הנאשם יש לראות עוד את העובדה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עניין לנו באיש משפחה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אדם שחיי חיים נורמטיביים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שלהוציא שתי עבירות מלפני שנים רבות יחסית – לא עבר עבירות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ואין לו כל קשר לעולם הפשע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מאסרו עתה מאחורי סורג ובריח עשוי לפגוע ברקמת חייו הנורמטיבית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בפרנסתו ובפרנסת משפחתו המורחבת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וכל אלה שוקלים את משקלם לטובת ההקלה עם הנאשם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אלא שלעומת שיקולים אלה יש לראות את חומרתה הרבה של העבירה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שהיתה למכת הצפון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אם לא מכת המדינה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כאשר מעשי אלימות רבים מגיעים כדי שימוש בנשק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קר או חם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לצד ירי שנעשה בחתונות ובשאר מסיבות כחלק בלתי נפרד מן החגיגה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רבות נאמר ונכתב על חומרתה של נשיאת הנשק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על הסכנה הפוטנציאלית הטמונה בה לשלום הציבור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ההתמודדות עם תופעה קשה זו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ככל שהדברים צריכים לבתי המשפט ולחלקם במאבק בה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מחייבת החמרה בענישתם של מי שחטאו בחטא זה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למען יראה הנאשם ולמען יראו הרבים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ויירָאו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אגב כך אומר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דווקא מתוך הדברים שמציין שירות המבחן ניתן ללמוד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הנאשם לא למד את לקחו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שכן אין הוא מבין את חומרת מעשיו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והתייחסותו אליהם הינה </w:t>
      </w:r>
      <w:r>
        <w:rPr>
          <w:rFonts w:cs="d;Times New Roman" w:ascii="d;Times New Roman" w:hAnsi="d;Times New Roman"/>
          <w:rtl w:val="true"/>
        </w:rPr>
        <w:t>"</w:t>
      </w:r>
      <w:r>
        <w:rPr>
          <w:rFonts w:ascii="d;Times New Roman" w:hAnsi="d;Times New Roman" w:cs="d;Times New Roman"/>
          <w:rtl w:val="true"/>
        </w:rPr>
        <w:t>שטחית ולא בוגרת</w:t>
      </w:r>
      <w:r>
        <w:rPr>
          <w:rFonts w:cs="d;Times New Roman" w:ascii="d;Times New Roman" w:hAnsi="d;Times New Roman"/>
          <w:rtl w:val="true"/>
        </w:rPr>
        <w:t xml:space="preserve">", </w:t>
      </w:r>
      <w:r>
        <w:rPr>
          <w:rFonts w:ascii="d;Times New Roman" w:hAnsi="d;Times New Roman" w:cs="d;Times New Roman"/>
          <w:rtl w:val="true"/>
        </w:rPr>
        <w:t>כלשון קצין המבחן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אינני רואה כיצד ניתן לפעול בתום לב בהצטיידות באקדח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מחסנית וכדורים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והטמנתם בכספת הבית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 xml:space="preserve">הקושי ממנו התרשם קצין המבחן אצל הנאשם </w:t>
      </w:r>
      <w:r>
        <w:rPr>
          <w:rFonts w:cs="d;Times New Roman" w:ascii="d;Times New Roman" w:hAnsi="d;Times New Roman"/>
          <w:rtl w:val="true"/>
        </w:rPr>
        <w:t>"</w:t>
      </w:r>
      <w:r>
        <w:rPr>
          <w:rFonts w:ascii="d;Times New Roman" w:hAnsi="d;Times New Roman" w:cs="d;Times New Roman"/>
          <w:rtl w:val="true"/>
        </w:rPr>
        <w:t>להתחבר לצד הבעייתי בהתנהגותו ולמניעיו האמיתיים בהחזקת האקדח</w:t>
      </w:r>
      <w:r>
        <w:rPr>
          <w:rFonts w:cs="d;Times New Roman" w:ascii="d;Times New Roman" w:hAnsi="d;Times New Roman"/>
          <w:rtl w:val="true"/>
        </w:rPr>
        <w:t xml:space="preserve">" </w:t>
      </w:r>
      <w:r>
        <w:rPr>
          <w:rFonts w:ascii="d;Times New Roman" w:hAnsi="d;Times New Roman" w:cs="d;Times New Roman"/>
          <w:rtl w:val="true"/>
        </w:rPr>
        <w:t>מלמד על כי הנאשם לא למד את לקחו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ומכאן הצורך בהרתעתו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לצד הרתעת הרבים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על חשיבותה היא לעצמה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הרתעה שתיגזר מחומרת העונש שיושת עליו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משום כך סברתי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כי אין מקום להסתפק במאסר שייעשה בעבודת שירות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וחרף החשש לפגיעה במסלול חייו הנורמטיבי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הקיים תמיד כאשר מוטל על נאשם נורמטיבי מאסר בפועל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הרי שחומרת העבירה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על הטעמים שהטעמתי למעלה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מחייבת החמרה בענישה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משמע מאסר בפועל שייעשה בבית הכלא</w:t>
      </w:r>
      <w:r>
        <w:rPr>
          <w:rFonts w:cs="d;Times New Roman" w:ascii="d;Times New Roman" w:hAnsi="d;Times New Roman"/>
          <w:rtl w:val="true"/>
        </w:rPr>
        <w:t xml:space="preserve">. </w:t>
      </w:r>
      <w:r>
        <w:rPr>
          <w:rFonts w:ascii="d;Times New Roman" w:hAnsi="d;Times New Roman" w:cs="d;Times New Roman"/>
          <w:rtl w:val="true"/>
        </w:rPr>
        <w:t>עם זאת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הטעמים שהבאתי לטובת הנאשם יבואו בחשבון השיקולים בקביעת אורך המאסר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אשר על כן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ולאחר ששקלתי את השיקולים השונים שהובאו לפניי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לטובת הנאשם ולחובתו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>הנני גוזר עליו עונשים כלהלן</w:t>
      </w:r>
      <w:r>
        <w:rPr>
          <w:rFonts w:cs="d;Times New Roman" w:ascii="d;Times New Roman" w:hAnsi="d;Times New Roman"/>
          <w:rtl w:val="true"/>
        </w:rPr>
        <w:t>: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א</w:t>
      </w:r>
      <w:r>
        <w:rPr>
          <w:rFonts w:cs="d;Times New Roman" w:ascii="d;Times New Roman" w:hAnsi="d;Times New Roman"/>
          <w:rtl w:val="true"/>
        </w:rPr>
        <w:t>.</w:t>
        <w:tab/>
      </w:r>
      <w:r>
        <w:rPr>
          <w:rFonts w:ascii="d;Times New Roman" w:hAnsi="d;Times New Roman" w:cs="d;Times New Roman"/>
          <w:rtl w:val="true"/>
        </w:rPr>
        <w:t>תשעה חודשי מאסר בפועל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מהם ינוכו ימי מעצרו </w:t>
      </w:r>
      <w:r>
        <w:rPr>
          <w:rFonts w:cs="d;Times New Roman" w:ascii="d;Times New Roman" w:hAnsi="d;Times New Roman"/>
          <w:rtl w:val="true"/>
        </w:rPr>
        <w:t>(</w:t>
      </w:r>
      <w:r>
        <w:rPr>
          <w:rFonts w:ascii="d;Times New Roman" w:hAnsi="d;Times New Roman" w:cs="d;Times New Roman"/>
          <w:rtl w:val="true"/>
        </w:rPr>
        <w:t xml:space="preserve">בין הימים </w:t>
      </w:r>
      <w:r>
        <w:rPr>
          <w:rFonts w:cs="d;Times New Roman" w:ascii="d;Times New Roman" w:hAnsi="d;Times New Roman"/>
        </w:rPr>
        <w:t>8.2.2011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 xml:space="preserve">עד </w:t>
      </w:r>
      <w:r>
        <w:rPr>
          <w:rFonts w:cs="d;Times New Roman" w:ascii="d;Times New Roman" w:hAnsi="d;Times New Roman"/>
        </w:rPr>
        <w:t>17.2.2011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וכן בין הימים </w:t>
      </w:r>
      <w:r>
        <w:rPr>
          <w:rFonts w:cs="d;Times New Roman" w:ascii="d;Times New Roman" w:hAnsi="d;Times New Roman"/>
        </w:rPr>
        <w:t>4.5.2011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ו</w:t>
      </w:r>
      <w:r>
        <w:rPr>
          <w:rFonts w:cs="d;Times New Roman" w:ascii="d;Times New Roman" w:hAnsi="d;Times New Roman"/>
          <w:rtl w:val="true"/>
        </w:rPr>
        <w:t>-</w:t>
      </w:r>
      <w:r>
        <w:rPr>
          <w:rFonts w:cs="d;Times New Roman" w:ascii="d;Times New Roman" w:hAnsi="d;Times New Roman"/>
        </w:rPr>
        <w:t>1.5.2011</w:t>
      </w:r>
      <w:r>
        <w:rPr>
          <w:rFonts w:cs="d;Times New Roman" w:ascii="d;Times New Roman" w:hAnsi="d;Times New Roman"/>
          <w:rtl w:val="true"/>
        </w:rPr>
        <w:t>).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ב</w:t>
      </w:r>
      <w:r>
        <w:rPr>
          <w:rFonts w:cs="d;Times New Roman" w:ascii="d;Times New Roman" w:hAnsi="d;Times New Roman"/>
          <w:rtl w:val="true"/>
        </w:rPr>
        <w:t>.</w:t>
        <w:tab/>
      </w:r>
      <w:r>
        <w:rPr>
          <w:rFonts w:ascii="d;Times New Roman" w:hAnsi="d;Times New Roman" w:cs="d;Times New Roman"/>
          <w:rtl w:val="true"/>
        </w:rPr>
        <w:t>שנתיים מאסר על תנאי למשך שלוש שנים מיום השחרור מן הכלא</w:t>
      </w:r>
      <w:r>
        <w:rPr>
          <w:rFonts w:cs="d;Times New Roman" w:ascii="d;Times New Roman" w:hAnsi="d;Times New Roman"/>
          <w:rtl w:val="true"/>
        </w:rPr>
        <w:t xml:space="preserve">, </w:t>
      </w:r>
      <w:r>
        <w:rPr>
          <w:rFonts w:ascii="d;Times New Roman" w:hAnsi="d;Times New Roman" w:cs="d;Times New Roman"/>
          <w:rtl w:val="true"/>
        </w:rPr>
        <w:t xml:space="preserve">והתנאי </w:t>
      </w:r>
      <w:r>
        <w:rPr>
          <w:rFonts w:cs="d;Times New Roman" w:ascii="d;Times New Roman" w:hAnsi="d;Times New Roman"/>
          <w:rtl w:val="true"/>
        </w:rPr>
        <w:t xml:space="preserve">- </w:t>
      </w:r>
      <w:r>
        <w:rPr>
          <w:rFonts w:ascii="d;Times New Roman" w:hAnsi="d;Times New Roman" w:cs="d;Times New Roman"/>
          <w:rtl w:val="true"/>
        </w:rPr>
        <w:t>הרשעת הנאשם בתקופה זו באיזו מבין עבירות הנשק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firstLine="720"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>ג</w:t>
      </w:r>
      <w:r>
        <w:rPr>
          <w:rFonts w:cs="d;Times New Roman" w:ascii="d;Times New Roman" w:hAnsi="d;Times New Roman"/>
          <w:rtl w:val="true"/>
        </w:rPr>
        <w:t>.</w:t>
        <w:tab/>
      </w:r>
      <w:r>
        <w:rPr>
          <w:rFonts w:ascii="d;Times New Roman" w:hAnsi="d;Times New Roman" w:cs="d;Times New Roman"/>
          <w:rtl w:val="true"/>
        </w:rPr>
        <w:t xml:space="preserve">קנס בסך של </w:t>
      </w:r>
      <w:r>
        <w:rPr>
          <w:rFonts w:cs="d;Times New Roman" w:ascii="d;Times New Roman" w:hAnsi="d;Times New Roman"/>
        </w:rPr>
        <w:t>10,000</w:t>
      </w:r>
      <w:r>
        <w:rPr>
          <w:rFonts w:cs="d;Times New Roman" w:ascii="d;Times New Roman" w:hAnsi="d;Times New Roman"/>
          <w:rtl w:val="true"/>
        </w:rPr>
        <w:t xml:space="preserve"> ₪, </w:t>
      </w:r>
      <w:r>
        <w:rPr>
          <w:rFonts w:ascii="d;Times New Roman" w:hAnsi="d;Times New Roman" w:cs="d;Times New Roman"/>
          <w:rtl w:val="true"/>
        </w:rPr>
        <w:t xml:space="preserve">שישולם בתוך </w:t>
      </w:r>
      <w:r>
        <w:rPr>
          <w:rFonts w:cs="d;Times New Roman" w:ascii="d;Times New Roman" w:hAnsi="d;Times New Roman"/>
        </w:rPr>
        <w:t>90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יום מהיום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;Times New Roman" w:hAnsi="d;Times New Roman" w:cs="d;Times New Roman"/>
        </w:rPr>
      </w:pPr>
      <w:r>
        <w:rPr>
          <w:rFonts w:cs="d;Times New Roman" w:ascii="d;Times New Roman" w:hAnsi="d;Times New Roman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rFonts w:ascii="d;Times New Roman" w:hAnsi="d;Times New Roman" w:cs="d;Times New Roman"/>
        </w:rPr>
      </w:pPr>
      <w:r>
        <w:rPr>
          <w:rFonts w:ascii="d;Times New Roman" w:hAnsi="d;Times New Roman" w:cs="d;Times New Roman"/>
          <w:rtl w:val="true"/>
        </w:rPr>
        <w:t xml:space="preserve">הודעהּ לנאשם זכותו לערער על פסק הדין לבית המשפט העליון תוך </w:t>
      </w:r>
      <w:r>
        <w:rPr>
          <w:rFonts w:cs="d;Times New Roman" w:ascii="d;Times New Roman" w:hAnsi="d;Times New Roman"/>
        </w:rPr>
        <w:t>45</w:t>
      </w:r>
      <w:r>
        <w:rPr>
          <w:rFonts w:cs="d;Times New Roman" w:ascii="d;Times New Roman" w:hAnsi="d;Times New Roman"/>
          <w:rtl w:val="true"/>
        </w:rPr>
        <w:t xml:space="preserve"> </w:t>
      </w:r>
      <w:r>
        <w:rPr>
          <w:rFonts w:ascii="d;Times New Roman" w:hAnsi="d;Times New Roman" w:cs="d;Times New Roman"/>
          <w:rtl w:val="true"/>
        </w:rPr>
        <w:t>יום מהיום</w:t>
      </w:r>
      <w:r>
        <w:rPr>
          <w:rFonts w:cs="d;Times New Roman" w:ascii="d;Times New Roman" w:hAnsi="d;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;Times New Roman" w:hAnsi="d;Times New Roman" w:cs="d;Times New Roman"/>
        </w:rPr>
      </w:pPr>
      <w:r>
        <w:rPr>
          <w:rFonts w:cs="d;Times New Roman" w:ascii="d;Times New Roman" w:hAnsi="d;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 עמדתו ההגונה של התובע</w:t>
      </w:r>
      <w:r>
        <w:rPr>
          <w:rtl w:val="true"/>
        </w:rPr>
        <w:t xml:space="preserve">, </w:t>
      </w:r>
      <w:r>
        <w:rPr>
          <w:rtl w:val="true"/>
        </w:rPr>
        <w:t>הנני מעכב את ריצוי עונש המאסר ב</w:t>
      </w:r>
      <w:r>
        <w:rPr>
          <w:rtl w:val="true"/>
        </w:rPr>
        <w:t>-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אברהם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">
    <w:altName w:val="Times New Roman"/>
    <w:charset w:val="00" w:characterSet="windows-1252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23194-02-11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מחמוד דראושה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31290" TargetMode="External"/><Relationship Id="rId3" Type="http://schemas.openxmlformats.org/officeDocument/2006/relationships/hyperlink" Target="http://www.nevo.co.il/case/2731290" TargetMode="External"/><Relationship Id="rId4" Type="http://schemas.openxmlformats.org/officeDocument/2006/relationships/hyperlink" Target="http://www.nevo.co.il/case/2731290" TargetMode="External"/><Relationship Id="rId5" Type="http://schemas.openxmlformats.org/officeDocument/2006/relationships/hyperlink" Target="http://www.nevo.co.il/case/2731290" TargetMode="External"/><Relationship Id="rId6" Type="http://schemas.openxmlformats.org/officeDocument/2006/relationships/hyperlink" Target="http://www.nevo.co.il/case/5594756" TargetMode="External"/><Relationship Id="rId7" Type="http://schemas.openxmlformats.org/officeDocument/2006/relationships/hyperlink" Target="http://www.nevo.co.il/case/2731290" TargetMode="External"/><Relationship Id="rId8" Type="http://schemas.openxmlformats.org/officeDocument/2006/relationships/hyperlink" Target="http://www.nevo.co.il/case/2731290" TargetMode="External"/><Relationship Id="rId9" Type="http://schemas.openxmlformats.org/officeDocument/2006/relationships/hyperlink" Target="http://www.nevo.co.il/case/2731290" TargetMode="External"/><Relationship Id="rId10" Type="http://schemas.openxmlformats.org/officeDocument/2006/relationships/hyperlink" Target="http://www.nevo.co.il/case/2731290" TargetMode="External"/><Relationship Id="rId11" Type="http://schemas.openxmlformats.org/officeDocument/2006/relationships/hyperlink" Target="http://www.nevo.co.il/case/5594756" TargetMode="External"/><Relationship Id="rId12" Type="http://schemas.openxmlformats.org/officeDocument/2006/relationships/hyperlink" Target="http://www.nevo.co.il/case/5594756" TargetMode="External"/><Relationship Id="rId13" Type="http://schemas.openxmlformats.org/officeDocument/2006/relationships/hyperlink" Target="http://www.nevo.co.il/case/2731290" TargetMode="External"/><Relationship Id="rId14" Type="http://schemas.openxmlformats.org/officeDocument/2006/relationships/hyperlink" Target="http://www.nevo.co.il/case/2731290" TargetMode="External"/><Relationship Id="rId15" Type="http://schemas.openxmlformats.org/officeDocument/2006/relationships/hyperlink" Target="http://www.nevo.co.il/case/2731290" TargetMode="External"/><Relationship Id="rId16" Type="http://schemas.openxmlformats.org/officeDocument/2006/relationships/hyperlink" Target="http://www.nevo.co.il/case/2731290" TargetMode="External"/><Relationship Id="rId17" Type="http://schemas.openxmlformats.org/officeDocument/2006/relationships/hyperlink" Target="http://www.nevo.co.il/case/5594756" TargetMode="External"/><Relationship Id="rId18" Type="http://schemas.openxmlformats.org/officeDocument/2006/relationships/hyperlink" Target="http://www.nevo.co.il/case/5594756" TargetMode="External"/><Relationship Id="rId19" Type="http://schemas.openxmlformats.org/officeDocument/2006/relationships/hyperlink" Target="http://www.nevo.co.il/case/5594756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5950172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2016-05-03T11:56:00Z</dcterms:created>
  <dc:creator> </dc:creator>
  <dc:description/>
  <cp:keywords/>
  <dc:language>en-IL</dc:language>
  <cp:lastModifiedBy>hofit</cp:lastModifiedBy>
  <dcterms:modified xsi:type="dcterms:W3CDTF">2016-05-03T11:56:00Z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דראושה</vt:lpwstr>
  </property>
  <property fmtid="{D5CDD505-2E9C-101B-9397-08002B2CF9AE}" pid="4" name="CASESLISTTMP1">
    <vt:lpwstr>2731290:12;5594756:6;5950172</vt:lpwstr>
  </property>
  <property fmtid="{D5CDD505-2E9C-101B-9397-08002B2CF9AE}" pid="5" name="CITY">
    <vt:lpwstr>נצ'</vt:lpwstr>
  </property>
  <property fmtid="{D5CDD505-2E9C-101B-9397-08002B2CF9AE}" pid="6" name="DATE">
    <vt:lpwstr>20110725</vt:lpwstr>
  </property>
  <property fmtid="{D5CDD505-2E9C-101B-9397-08002B2CF9AE}" pid="7" name="ISABSTRACT">
    <vt:lpwstr>Y</vt:lpwstr>
  </property>
  <property fmtid="{D5CDD505-2E9C-101B-9397-08002B2CF9AE}" pid="8" name="JUDGE">
    <vt:lpwstr>אברהם אברהם</vt:lpwstr>
  </property>
  <property fmtid="{D5CDD505-2E9C-101B-9397-08002B2CF9AE}" pid="9" name="LAWLISTTMP1">
    <vt:lpwstr>70301/144.b</vt:lpwstr>
  </property>
  <property fmtid="{D5CDD505-2E9C-101B-9397-08002B2CF9AE}" pid="10" name="LAWYER">
    <vt:lpwstr>אור לרנר;דראושה ודרעי</vt:lpwstr>
  </property>
  <property fmtid="{D5CDD505-2E9C-101B-9397-08002B2CF9AE}" pid="11" name="LINKK1">
    <vt:lpwstr>http://www.nevo.co.il/Psika_word/mechozi/ME-11-02-23194-84.doc;להכרעת-דין במחוזי (17-02-2011)#תפ 23194-02-11 מדינת ישראל נ' מחמוד דראושה (עציר)#שופטים: אברהם אברהם#עו''ד: דראושה מוחמד, אילת פלניצקי</vt:lpwstr>
  </property>
  <property fmtid="{D5CDD505-2E9C-101B-9397-08002B2CF9AE}" pid="12" name="LINKK10">
    <vt:lpwstr>http://www.nevo.co.il/Psika_word/elyon/11064910-t01.doc;להחלטה בעליון (22-09-2011)#עפ 6491/11 מחמוד דראושה נ' מדינת ישראל#שופטים: א' רובינשטיין#עו''ד: מוהנד דראושה, בקשה, לדחיית מועד דיון</vt:lpwstr>
  </property>
  <property fmtid="{D5CDD505-2E9C-101B-9397-08002B2CF9AE}" pid="13" name="LINKK11">
    <vt:lpwstr>http://www.nevo.co.il/Psika_word/elyon/11064910-t02.doc;להחלטה בעליון (25-09-2011)#עפ 6491/11 מחמוד דראושה נ' מדינת ישראל#שופטים: א' רובינשטיין#עו''ד: בת עמי ברוט, מוהנד דראושה</vt:lpwstr>
  </property>
  <property fmtid="{D5CDD505-2E9C-101B-9397-08002B2CF9AE}" pid="14" name="LINKK12">
    <vt:lpwstr>http://www.nevo.co.il/Psika_word/mechozi/ME-11-02-23194-84.doc;להכרעת-דין במחוזי (17-02-2011)#תפ 23194-02-11 מדינת ישראל נ' מחמוד דראושה (עציר)#שופטים: אברהם אברהם#עו''ד: דראושה מוחמד, אילת פלניצקי</vt:lpwstr>
  </property>
  <property fmtid="{D5CDD505-2E9C-101B-9397-08002B2CF9AE}" pid="15" name="LINKK2">
    <vt:lpwstr>http://www.nevo.co.il/Psika_word/mechozi/ME-11-02-23194-601.doc;להחלטה במחוזי (06-06-2011)#תפ 23194-02-11 מדינת ישראל נ' מחמוד דראושה#שופטים: אברהם אברהם#עו''ד: מוהנד דראושה, בקשה, לדחיית מועד דיון</vt:lpwstr>
  </property>
  <property fmtid="{D5CDD505-2E9C-101B-9397-08002B2CF9AE}" pid="16" name="LINKK3">
    <vt:lpwstr>http://www.nevo.co.il/Psika_word/mechozi/ME-11-02-23194-900.doc;להחלטה במחוזי (18-08-2011)#תפ 23194-02-11 מוהנד דראושה נ' מדינת ישראל#שופטים: דוד חשין#עו''ד: אור לרנר, דראושה ודרעי</vt:lpwstr>
  </property>
  <property fmtid="{D5CDD505-2E9C-101B-9397-08002B2CF9AE}" pid="17" name="LINKK4">
    <vt:lpwstr>http://www.nevo.co.il/Psika_word/mechozi/ME-11-02-23194-500.doc;להחלטה במחוזי (05-09-2011)#תפ 23194-02-11 מחמוד דראושה נ' מדינת ישראל#שופטים: דני צרפתי#עו''ד: מוהנד דראושה, בקשה, לדחיית מועד דיון</vt:lpwstr>
  </property>
  <property fmtid="{D5CDD505-2E9C-101B-9397-08002B2CF9AE}" pid="18" name="LINKK5">
    <vt:lpwstr>http://www.nevo.co.il/Psika_word/elyon/11064910-t01.doc;להחלטה בעליון (22-09-2011)#עפ 6491/11 מחמוד דראושה נ' מדינת ישראל#שופטים: א' רובינשטיין#עו''ד: מוהנד דראושה, בקשה, לדחיית מועד דיון</vt:lpwstr>
  </property>
  <property fmtid="{D5CDD505-2E9C-101B-9397-08002B2CF9AE}" pid="19" name="LINKK6">
    <vt:lpwstr>http://www.nevo.co.il/Psika_word/mechozi/ME-11-02-23194-84.doc;להכרעת-דין במחוזי (17-02-2011)#תפ 23194-02-11 מדינת ישראל נ' מחמוד דראושה (עציר)#שופטים: אברהם אברהם#עו''ד: דראושה מוחמד, אילת פלניצקי</vt:lpwstr>
  </property>
  <property fmtid="{D5CDD505-2E9C-101B-9397-08002B2CF9AE}" pid="20" name="LINKK7">
    <vt:lpwstr>http://www.nevo.co.il/Psika_word/mechozi/ME-11-02-23194-601.doc;להחלטה במחוזי (06-06-2011)#תפ 23194-02-11 מדינת ישראל נ' מחמוד דראושה#שופטים: אברהם אברהם#עו''ד: בת עמי ברוט, מוהנד דראושה</vt:lpwstr>
  </property>
  <property fmtid="{D5CDD505-2E9C-101B-9397-08002B2CF9AE}" pid="21" name="LINKK8">
    <vt:lpwstr>http://www.nevo.co.il/Psika_word/mechozi/ME-11-02-23194-900.doc;להחלטה במחוזי (18-08-2011)#תפ 23194-02-11 מוהנד דראושה נ' מדינת ישראל#שופטים: דוד חשין#עו''ד: אור לרנר, דראושה ודרעי</vt:lpwstr>
  </property>
  <property fmtid="{D5CDD505-2E9C-101B-9397-08002B2CF9AE}" pid="22" name="LINKK9">
    <vt:lpwstr>http://www.nevo.co.il/Psika_word/mechozi/ME-11-02-23194-500.doc;להחלטה במחוזי (05-09-2011)#תפ 23194-02-11 מחמוד דראושה נ' מדינת ישראל#שופטים: דני צרפתי#עו''ד: בת עמי ברוט, מוהנד דראושה</vt:lpwstr>
  </property>
  <property fmtid="{D5CDD505-2E9C-101B-9397-08002B2CF9AE}" pid="23" name="NEWPARTA">
    <vt:lpwstr>23194</vt:lpwstr>
  </property>
  <property fmtid="{D5CDD505-2E9C-101B-9397-08002B2CF9AE}" pid="24" name="NEWPARTB">
    <vt:lpwstr>02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TYPE_ABS_DATE">
    <vt:lpwstr>390020110725</vt:lpwstr>
  </property>
  <property fmtid="{D5CDD505-2E9C-101B-9397-08002B2CF9AE}" pid="30" name="TYPE_N_DATE">
    <vt:lpwstr>39020110725</vt:lpwstr>
  </property>
  <property fmtid="{D5CDD505-2E9C-101B-9397-08002B2CF9AE}" pid="31" name="WORDNUMPAGES">
    <vt:lpwstr>4</vt:lpwstr>
  </property>
</Properties>
</file>