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2325-08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שפלה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כירי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2616"/>
        <w:gridCol w:w="239"/>
        <w:gridCol w:w="2625"/>
        <w:gridCol w:w="82"/>
      </w:tblGrid>
      <w:tr>
        <w:trPr>
          <w:trHeight w:val="337" w:hRule="atLeast"/>
        </w:trPr>
        <w:tc>
          <w:tcPr>
            <w:tcW w:w="5856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סגנית נשיא  נירה דסקין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שפלה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עמוס כירי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מאשימה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 </w:t>
      </w:r>
      <w:r>
        <w:rPr>
          <w:b w:val="false"/>
          <w:b w:val="false"/>
          <w:bCs w:val="false"/>
          <w:u w:val="none"/>
          <w:rtl w:val="true"/>
        </w:rPr>
        <w:t>מ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 w:val="false"/>
          <w:bCs w:val="false"/>
          <w:u w:val="none"/>
          <w:rtl w:val="true"/>
        </w:rPr>
        <w:t>י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לשכת תביעות מרחב שפלה – פלילי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סבן נוי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עמוס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כירי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שלומית יחזקאלי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bookmarkStart w:id="6" w:name="ABSTRACT_START"/>
      <w:bookmarkEnd w:id="6"/>
      <w:r>
        <w:rPr>
          <w:rtl w:val="true"/>
        </w:rPr>
        <w:t>הנאשם הורשע על פי הודאתו בעבירה של ניסיון הסעה בניגוד ל</w:t>
      </w:r>
      <w:hyperlink r:id="rId2">
        <w:r>
          <w:rPr>
            <w:rStyle w:val="Hyperlink"/>
            <w:color w:val="0000FF"/>
            <w:u w:val="single"/>
            <w:rtl w:val="true"/>
          </w:rPr>
          <w:t>חוק הכניסה לישראל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 הסדר טעון עותרים הצדדים במשותף ובהסכמה לענישה צופה פני עתיד כשלצידה רכיב קונקרטי בדמות של</w:t>
      </w:r>
      <w:r>
        <w:rPr>
          <w:rtl w:val="true"/>
        </w:rPr>
        <w:t>"</w:t>
      </w:r>
      <w:r>
        <w:rPr>
          <w:rtl w:val="true"/>
        </w:rPr>
        <w:t>צ כאשר התביעה עותרת גם להשתת 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הסנגורית מבקשת להימנע מהשתת קנס וזאת נוכח מצבו הבריאותי של הנאשם והעובדה שהוא עובד עבודה חלקית בלבד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הסנגורית גם הציגה תלושי משכורת של הנאשם כן תיעוד הנוגע לחובותיו של הנאשם המבוצעים בהוצאה לפועל והחלטת רשם הוצאה לפועל באשר לתשלומים שנפגעו בעקבות חקירת יכולת שנערכה לנאשם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שקלתי טעוני באי כוח הצדדים ונסיבות הענין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bookmarkStart w:id="7" w:name="ABSTRACT_END"/>
      <w:bookmarkEnd w:id="7"/>
      <w:r>
        <w:rPr>
          <w:rtl w:val="true"/>
        </w:rPr>
        <w:t xml:space="preserve">סבורה אני שאין עוד צורך להכביר מילים על פוטנציאל המסוכנות הגלום בעבירות על </w:t>
      </w:r>
      <w:hyperlink r:id="rId3">
        <w:r>
          <w:rPr>
            <w:rStyle w:val="Hyperlink"/>
            <w:color w:val="0000FF"/>
            <w:u w:val="single"/>
            <w:rtl w:val="true"/>
          </w:rPr>
          <w:t>חוק הכניסה לישראל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ברגיל עבירות אלה צריכות למענה ענישתי שיהיה בו כדי לענות על אינטרס התגמול וביחוד על אינטרס ההרתעה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כל מקרה נדון לגופו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מוצאת אני כי בעקבות החלטות שיצאו מלפני בית המשפט העליון</w:t>
      </w:r>
      <w:r>
        <w:rPr>
          <w:rtl w:val="true"/>
        </w:rPr>
        <w:t xml:space="preserve">, </w:t>
      </w:r>
      <w:r>
        <w:rPr>
          <w:rtl w:val="true"/>
        </w:rPr>
        <w:t>מקום בו נמנע בית המשפט מהשתת רכיב של מאסר צריך הדבר לקבל ביטוי מאזן בהשתת קנס</w:t>
      </w:r>
      <w:r>
        <w:rPr>
          <w:rtl w:val="true"/>
        </w:rPr>
        <w:t xml:space="preserve">. </w:t>
      </w:r>
      <w:r>
        <w:rPr>
          <w:rtl w:val="true"/>
        </w:rPr>
        <w:t>יחד עם זאת נוכח טעוני הסנגורית באשר לקשיים כלכליים משמעותיים ומצב בריאותי לקוי</w:t>
      </w:r>
      <w:r>
        <w:rPr>
          <w:rtl w:val="true"/>
        </w:rPr>
        <w:t xml:space="preserve">, </w:t>
      </w:r>
      <w:r>
        <w:rPr>
          <w:rtl w:val="true"/>
        </w:rPr>
        <w:t>יש מקום להקל ברכיב הקנס באופן משמעותי ובהתאם לכך אף ייקצב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על יסוד טעוני באי כוח הצדדים והסדר הטעון אני גוזרת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צו של</w:t>
      </w:r>
      <w:r>
        <w:rPr>
          <w:rtl w:val="true"/>
        </w:rPr>
        <w:t>"</w:t>
      </w:r>
      <w:r>
        <w:rPr>
          <w:rtl w:val="true"/>
        </w:rPr>
        <w:t xml:space="preserve">צ בהיקף של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 xml:space="preserve">שעות אשר יבוצע בהתאם לתכנית שגובשה על ידי שירות המבחן במועדון </w:t>
      </w:r>
      <w:r>
        <w:rPr>
          <w:rtl w:val="true"/>
        </w:rPr>
        <w:t>"</w:t>
      </w:r>
      <w:r>
        <w:rPr>
          <w:rtl w:val="true"/>
        </w:rPr>
        <w:t>יום לקשיש</w:t>
      </w:r>
      <w:r>
        <w:rPr>
          <w:rtl w:val="true"/>
        </w:rPr>
        <w:t xml:space="preserve">" </w:t>
      </w:r>
      <w:r>
        <w:rPr>
          <w:rtl w:val="true"/>
        </w:rPr>
        <w:t>בנתניה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העבודות תבוצענה פעמיים בשבוע כ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שעות בכל פעם בסיוע לעובדי 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שלא יעבור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מהיום כל עבירה על </w:t>
      </w:r>
      <w:hyperlink r:id="rId4">
        <w:r>
          <w:rPr>
            <w:rStyle w:val="Hyperlink"/>
            <w:color w:val="0000FF"/>
            <w:u w:val="single"/>
            <w:rtl w:val="true"/>
          </w:rPr>
          <w:t>חוק הכניסה לישראל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פסילה על תנאי מלקבל ו</w:t>
      </w:r>
      <w:r>
        <w:rPr>
          <w:rtl w:val="true"/>
        </w:rPr>
        <w:t>/</w:t>
      </w:r>
      <w:r>
        <w:rPr>
          <w:rtl w:val="true"/>
        </w:rPr>
        <w:t xml:space="preserve">או להחזיק רישיון נהיגה והתנאי הוא שלא יעבור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מהיום כל עבירה על </w:t>
      </w:r>
      <w:hyperlink r:id="rId5">
        <w:r>
          <w:rPr>
            <w:rStyle w:val="Hyperlink"/>
            <w:color w:val="0000FF"/>
            <w:u w:val="single"/>
            <w:rtl w:val="true"/>
          </w:rPr>
          <w:t>חוק הכניסה לישראל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קנס בסך </w:t>
      </w:r>
      <w:r>
        <w:rPr/>
        <w:t>750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 מאסר למקרה שהקנס לא ישולם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לפנים משורת הדין ישולם הקנס ב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חדשיים שווים ורצופים אשר ישולמו האחד ביום </w:t>
      </w:r>
      <w:r>
        <w:rPr/>
        <w:t>15.12.09</w:t>
      </w:r>
      <w:r>
        <w:rPr>
          <w:rtl w:val="true"/>
        </w:rPr>
        <w:t xml:space="preserve"> </w:t>
      </w:r>
      <w:r>
        <w:rPr>
          <w:rtl w:val="true"/>
        </w:rPr>
        <w:t xml:space="preserve">והשני ביום </w:t>
      </w:r>
      <w:r>
        <w:rPr/>
        <w:t>15.1.2010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זכות ערעור בתוך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חשון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08/11/2009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 נירה דסקין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נירה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דסקין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 xml:space="preserve">סגנית נשיא 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/Users/liorb/Downloads/study2025-p2/SH-08-2325-429.doc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2325-08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לשכת תביעות מרחב שפלה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פלילי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עמוס כירי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189_003.htm" TargetMode="External"/><Relationship Id="rId3" Type="http://schemas.openxmlformats.org/officeDocument/2006/relationships/hyperlink" Target="http://www.nevo.co.il/law_html/law01/189_003.htm" TargetMode="External"/><Relationship Id="rId4" Type="http://schemas.openxmlformats.org/officeDocument/2006/relationships/hyperlink" Target="http://www.nevo.co.il/law_html/law01/189_003.htm" TargetMode="External"/><Relationship Id="rId5" Type="http://schemas.openxmlformats.org/officeDocument/2006/relationships/hyperlink" Target="http://www.nevo.co.il/law_html/law01/189_003.htm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2009-11-09T14:05:00Z</dcterms:created>
  <dc:creator> </dc:creator>
  <dc:description/>
  <cp:keywords/>
  <dc:language>en-IL</dc:language>
  <cp:lastModifiedBy>Hofitdvir</cp:lastModifiedBy>
  <dcterms:modified xsi:type="dcterms:W3CDTF">2009-11-09T14:13:00Z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מרחב שפלה - פלילי</vt:lpwstr>
  </property>
  <property fmtid="{D5CDD505-2E9C-101B-9397-08002B2CF9AE}" pid="3" name="APPELLEE">
    <vt:lpwstr>עמוס כירי</vt:lpwstr>
  </property>
  <property fmtid="{D5CDD505-2E9C-101B-9397-08002B2CF9AE}" pid="4" name="CITY">
    <vt:lpwstr>רמ'</vt:lpwstr>
  </property>
  <property fmtid="{D5CDD505-2E9C-101B-9397-08002B2CF9AE}" pid="5" name="DATE">
    <vt:lpwstr>20091108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נירה דסקין</vt:lpwstr>
  </property>
  <property fmtid="{D5CDD505-2E9C-101B-9397-08002B2CF9AE}" pid="9" name="LAWYER">
    <vt:lpwstr>שלומית יחזקאלי;סבן נוי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2325</vt:lpwstr>
  </property>
  <property fmtid="{D5CDD505-2E9C-101B-9397-08002B2CF9AE}" pid="23" name="NEWPARTB">
    <vt:lpwstr/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2325</vt:lpwstr>
  </property>
  <property fmtid="{D5CDD505-2E9C-101B-9397-08002B2CF9AE}" pid="31" name="PROCYEAR">
    <vt:lpwstr>08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sh 08 2325 429 htm</vt:lpwstr>
  </property>
  <property fmtid="{D5CDD505-2E9C-101B-9397-08002B2CF9AE}" pid="34" name="TYPE">
    <vt:lpwstr>3</vt:lpwstr>
  </property>
  <property fmtid="{D5CDD505-2E9C-101B-9397-08002B2CF9AE}" pid="35" name="TYPE_ABS_DATE">
    <vt:lpwstr>380020091108</vt:lpwstr>
  </property>
  <property fmtid="{D5CDD505-2E9C-101B-9397-08002B2CF9AE}" pid="36" name="TYPE_N_DATE">
    <vt:lpwstr>38020091108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