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23328-12-22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נאטור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עבדאללה נאטור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גיגי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אביזר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rtl w:val="true"/>
          </w:rPr>
          <w:t>וסעיף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11" w:name="ABSTRACT_END"/>
      <w:bookmarkEnd w:id="11"/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מונטסר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29.11.22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מונטסר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קלנסווה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מונטסר</w:t>
      </w:r>
      <w:r>
        <w:rPr>
          <w:rtl w:val="true"/>
        </w:rPr>
        <w:t xml:space="preserve">,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מונטסר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ובתוכם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מונטסר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מתסקיר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8.2.24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 xml:space="preserve">,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ומטשטשת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כנמוך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מונתסר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24606-12-22</w:t>
        </w:r>
      </w:hyperlink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למונתסר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color w:val="000000"/>
          <w:spacing w:val="10"/>
          <w:rtl w:val="true"/>
        </w:rPr>
        <w:t>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הפכו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מכבר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למכת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חומרתן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היתרה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פגיעתן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הקשה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והשפעתן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תחושת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הביטחון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כלל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אזרחי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המדינה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זכו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להתייחסות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נרחבת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בפסקי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דין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רבים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משפט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העליון</w:t>
      </w:r>
      <w:r>
        <w:rPr>
          <w:color w:val="000000"/>
          <w:spacing w:val="10"/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</w:rPr>
      </w:pPr>
      <w:r>
        <w:rPr>
          <w:color w:val="000000"/>
          <w:spacing w:val="10"/>
          <w:rtl w:val="true"/>
        </w:rPr>
        <w:t>מגמה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קיבלה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ביטוי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גם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בחקיקה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במסגרת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תיקון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140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לחוק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נקבעו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עונשי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מינימום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באשר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הן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באופן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שככלל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העונש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שיושת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בגין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אלו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יפחת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מרבע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העונש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המרבי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שנקבע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לעבירה</w:t>
      </w:r>
      <w:r>
        <w:rPr>
          <w:color w:val="000000"/>
          <w:spacing w:val="1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57" w:start="714" w:end="0"/>
        <w:contextualSpacing/>
        <w:jc w:val="both"/>
        <w:textAlignment w:val="baseline"/>
        <w:rPr>
          <w:b/>
          <w:bCs/>
        </w:rPr>
      </w:pP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מונתסר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מונתסר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מונתסר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</w:t>
      </w:r>
      <w:r>
        <w:rPr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דינם של מחזיקי הנשק</w:t>
      </w:r>
      <w:r>
        <w:rPr>
          <w:rtl w:val="true"/>
        </w:rPr>
        <w:t xml:space="preserve">, </w:t>
      </w:r>
      <w:r>
        <w:rPr>
          <w:rtl w:val="true"/>
        </w:rPr>
        <w:t>לרבות אלו שעברם נקי והתקבל בעניינם תסקיר חיובי</w:t>
      </w:r>
      <w:r>
        <w:rPr>
          <w:rtl w:val="true"/>
        </w:rPr>
        <w:t xml:space="preserve">, </w:t>
      </w:r>
      <w:r>
        <w:rPr>
          <w:rtl w:val="true"/>
        </w:rPr>
        <w:t>למאסר ממש שאינו קצר</w:t>
      </w:r>
      <w:r>
        <w:rPr>
          <w:rtl w:val="true"/>
        </w:rPr>
        <w:t xml:space="preserve">. </w:t>
      </w:r>
      <w:r>
        <w:rPr>
          <w:rFonts w:eastAsia="Calibri"/>
          <w:rtl w:val="true"/>
        </w:rPr>
        <w:t>ב</w:t>
      </w:r>
      <w:hyperlink r:id="rId14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קדורה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14.4.2022</w:t>
      </w:r>
      <w:r>
        <w:rPr>
          <w:rtl w:val="true"/>
        </w:rPr>
        <w:t xml:space="preserve">) </w:t>
      </w:r>
      <w:r>
        <w:rPr>
          <w:rtl w:val="true"/>
        </w:rPr>
        <w:t>הורשע 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החזקת נשק בצוותא עם אחר – אקדח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 ורימון הלם אותם החזיק בביתו לתקופה קצרה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הנע בין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 מאסר וגזר על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וללא הרשעות קודמות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העליון קיבל את ערעור המדינה ו</w:t>
      </w:r>
      <w:r>
        <w:rPr>
          <w:b/>
          <w:b/>
          <w:bCs/>
          <w:rtl w:val="true"/>
        </w:rPr>
        <w:t>החמיר עונשו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;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9.12.2021</w:t>
      </w:r>
      <w:r>
        <w:rPr>
          <w:rtl w:val="true"/>
        </w:rPr>
        <w:t>),</w:t>
      </w:r>
      <w:r>
        <w:rPr>
          <w:rtl w:val="true"/>
        </w:rPr>
        <w:t>נדחה ערעורו של נאשם בעל עבר שאינו מכביד שהורשע בהחזקת שני אקדחים ברכבו</w:t>
      </w:r>
      <w:r>
        <w:rPr>
          <w:rtl w:val="true"/>
        </w:rPr>
        <w:t xml:space="preserve">, </w:t>
      </w:r>
      <w:r>
        <w:rPr>
          <w:rtl w:val="true"/>
        </w:rPr>
        <w:t>שירות המבחן המליץ להסתפק בעניינו בענישה שיקומית של עבודות שירות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נקבע בעניינו מתחם שנע בין </w:t>
      </w:r>
      <w:r>
        <w:rPr>
          <w:b/>
          <w:bCs/>
        </w:rPr>
        <w:t>12-36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ונגזרו עליו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העליון התייחס בהחלטתו לשיקולי השיקום אך נתן משקל בכורה למדיניות הענישה המחמירה בעבירות נשק</w:t>
      </w:r>
      <w:r>
        <w:rPr>
          <w:rtl w:val="true"/>
        </w:rPr>
        <w:t xml:space="preserve">; </w:t>
      </w:r>
      <w:r>
        <w:rPr>
          <w:rFonts w:ascii="Times New Roman" w:hAnsi="Times New Roman" w:eastAsia="Times New Roman" w:cs="Times New Roman"/>
          <w:rtl w:val="true"/>
        </w:rPr>
        <w:t>ב</w:t>
      </w:r>
      <w:hyperlink r:id="rId1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8320/21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בסילה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28.12.2021</w:t>
      </w:r>
      <w:r>
        <w:rPr>
          <w:rFonts w:eastAsia="Times New Roman" w:cs="Times New Roman" w:ascii="Times New Roman" w:hAnsi="Times New Roman"/>
          <w:rtl w:val="true"/>
        </w:rPr>
        <w:t xml:space="preserve"> )-  </w:t>
      </w:r>
      <w:r>
        <w:rPr>
          <w:rFonts w:ascii="Times New Roman" w:hAnsi="Times New Roman" w:eastAsia="Times New Roman" w:cs="Times New Roman"/>
          <w:rtl w:val="true"/>
        </w:rPr>
        <w:t xml:space="preserve">הנאשם הורשע בכך שהחזיק רובה סער דמוי </w:t>
      </w:r>
      <w:r>
        <w:rPr>
          <w:rFonts w:eastAsia="Times New Roman" w:cs="Times New Roman" w:ascii="Times New Roman" w:hAnsi="Times New Roman"/>
        </w:rPr>
        <w:t>M-16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בביתו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נסיבותיו חיוביות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המליץ להסתפק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קבע מתחם ענישה שנע בין </w:t>
      </w:r>
      <w:r>
        <w:rPr>
          <w:rFonts w:eastAsia="Times New Roman" w:cs="Times New Roman" w:ascii="Times New Roman" w:hAnsi="Times New Roman"/>
        </w:rPr>
        <w:t>6-24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 מאסר וגזר עליו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 המדינה על קולת העונש התקבל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העליון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סולברג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פסק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המתחם שנקבע והעונש שהוטל מקל עם הנאשם יתר על המידה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זאת גם בהתחשב בנסיבותיו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עונשו הוכפל והועמד על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עוד רלוונטי לעניינו גזר הדין שהוטל על מונתסר השותף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hyperlink r:id="rId1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24606-12-22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, </w:t>
      </w:r>
      <w:r>
        <w:rPr>
          <w:rFonts w:ascii="Times New Roman" w:hAnsi="Times New Roman" w:eastAsia="Times New Roman" w:cs="Times New Roman"/>
          <w:rtl w:val="true"/>
        </w:rPr>
        <w:t xml:space="preserve">גזר דיני מיום </w:t>
      </w:r>
      <w:r>
        <w:rPr>
          <w:rFonts w:eastAsia="Times New Roman" w:cs="Times New Roman" w:ascii="Times New Roman" w:hAnsi="Times New Roman"/>
        </w:rPr>
        <w:t>16.1.24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גם בתיק זה תוקן כתב האישום לסיוע להחזקת נשק עקב קושי ראייתי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המאשימה עתרה למתחם שנע בין </w:t>
      </w:r>
      <w:r>
        <w:rPr>
          <w:rFonts w:eastAsia="Times New Roman" w:cs="Times New Roman" w:ascii="Times New Roman" w:hAnsi="Times New Roman"/>
        </w:rPr>
        <w:t>7-15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 ולמיקום הנאשם בתחתיתו עקב עברו הנקי ותסקירו החיובי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מונתסר נדון 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בנסיבות אלו מצאתי לאמץ את המתחם שנקבע בעניין השותף הנע בין </w:t>
      </w:r>
      <w:r>
        <w:rPr>
          <w:rFonts w:eastAsia="Times New Roman" w:cs="Times New Roman" w:ascii="Times New Roman" w:hAnsi="Times New Roman"/>
          <w:b/>
          <w:bCs/>
        </w:rPr>
        <w:t>6-12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חודשי מאסר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254" w:before="0" w:after="160"/>
        <w:ind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254" w:before="0" w:after="160"/>
        <w:ind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23.9.24</w:t>
      </w:r>
      <w:r>
        <w:rPr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15.9.24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eastAsia="David" w:cs="David"/>
          <w:sz w:val="22"/>
          <w:szCs w:val="22"/>
        </w:rPr>
      </w:pPr>
      <w:r>
        <w:rPr>
          <w:rFonts w:eastAsia="David" w:cs="David" w:ascii="David" w:hAnsi="David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23328-12-22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נאטור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9211221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5568354" TargetMode="External"/><Relationship Id="rId14" Type="http://schemas.openxmlformats.org/officeDocument/2006/relationships/hyperlink" Target="http://www.nevo.co.il/case/28513828" TargetMode="External"/><Relationship Id="rId15" Type="http://schemas.openxmlformats.org/officeDocument/2006/relationships/hyperlink" Target="http://www.nevo.co.il/case/27491153" TargetMode="External"/><Relationship Id="rId16" Type="http://schemas.openxmlformats.org/officeDocument/2006/relationships/hyperlink" Target="http://www.nevo.co.il/case/28152132" TargetMode="External"/><Relationship Id="rId17" Type="http://schemas.openxmlformats.org/officeDocument/2006/relationships/hyperlink" Target="http://www.nevo.co.il/case/2921122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2024-07-11T09:06:00Z</dcterms:created>
  <dc:creator> </dc:creator>
  <dc:description/>
  <cp:keywords/>
  <dc:language>en-IL</dc:language>
  <cp:lastModifiedBy>h1</cp:lastModifiedBy>
  <dcterms:modified xsi:type="dcterms:W3CDTF">2024-07-11T09:06:00Z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נאטור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29211221:2;27894608;27911638;28152132:2;28452933;5568354;28513828;27491153</vt:lpwstr>
  </property>
  <property fmtid="{D5CDD505-2E9C-101B-9397-08002B2CF9AE}" pid="10" name="CITY">
    <vt:lpwstr>מרכז</vt:lpwstr>
  </property>
  <property fmtid="{D5CDD505-2E9C-101B-9397-08002B2CF9AE}" pid="11" name="DATE">
    <vt:lpwstr>20240708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מרב גרינברג</vt:lpwstr>
  </property>
  <property fmtid="{D5CDD505-2E9C-101B-9397-08002B2CF9AE}" pid="15" name="LAWLISTTMP1">
    <vt:lpwstr>70301/144.a;031</vt:lpwstr>
  </property>
  <property fmtid="{D5CDD505-2E9C-101B-9397-08002B2CF9AE}" pid="16" name="LAWYER">
    <vt:lpwstr>פאר;גיגי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23328</vt:lpwstr>
  </property>
  <property fmtid="{D5CDD505-2E9C-101B-9397-08002B2CF9AE}" pid="23" name="NEWPARTB">
    <vt:lpwstr>12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390020240708</vt:lpwstr>
  </property>
  <property fmtid="{D5CDD505-2E9C-101B-9397-08002B2CF9AE}" pid="35" name="TYPE_N_DATE">
    <vt:lpwstr>39020240708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