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23648-12-19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רבאן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4"/>
                <w:szCs w:val="4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</w:t>
            </w: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510584/2019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4"/>
                <w:szCs w:val="4"/>
              </w:rPr>
            </w:pPr>
            <w:r>
              <w:rPr>
                <w:rFonts w:cs="David" w:ascii="David" w:hAnsi="David"/>
                <w:b/>
                <w:bCs/>
                <w:sz w:val="4"/>
                <w:szCs w:val="4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נג</w:t>
            </w:r>
            <w:r>
              <w:rPr>
                <w:rFonts w:cs="David" w:ascii="David" w:hAnsi="David"/>
                <w:rtl w:val="true"/>
              </w:rPr>
              <w:t>'</w:t>
            </w:r>
            <w:r>
              <w:rPr>
                <w:rFonts w:ascii="David" w:hAnsi="David"/>
                <w:rtl w:val="true"/>
              </w:rPr>
              <w:t xml:space="preserve">וא סלימאן </w:t>
            </w:r>
            <w:r>
              <w:rPr>
                <w:rFonts w:cs="David" w:ascii="David" w:hAnsi="David"/>
                <w:rtl w:val="true"/>
              </w:rPr>
              <w:br/>
            </w:r>
            <w:r>
              <w:rPr>
                <w:rFonts w:ascii="David" w:hAnsi="David"/>
                <w:rtl w:val="true"/>
              </w:rPr>
              <w:t>פרקליטות מחוז חיפה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סעדו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אנס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זאיט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יפרח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קורן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34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 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28"/>
          <w:szCs w:val="28"/>
        </w:rPr>
      </w:pPr>
      <w:r>
        <w:rPr>
          <w:rFonts w:cs="David" w:ascii="David" w:hAnsi="David"/>
          <w:color w:val="0000FF"/>
          <w:sz w:val="28"/>
          <w:szCs w:val="28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  <w:u w:val="single"/>
        </w:rPr>
      </w:pPr>
      <w:bookmarkStart w:id="6" w:name="PsakDin"/>
      <w:bookmarkEnd w:id="6"/>
      <w:r>
        <w:rPr>
          <w:rFonts w:cs="David" w:ascii="David" w:hAnsi="David"/>
          <w:sz w:val="28"/>
          <w:szCs w:val="28"/>
          <w:u w:val="single"/>
          <w:rtl w:val="true"/>
        </w:rPr>
        <w:t>(</w:t>
      </w:r>
      <w:r>
        <w:rPr>
          <w:rFonts w:ascii="David" w:hAnsi="David"/>
          <w:sz w:val="28"/>
          <w:sz w:val="28"/>
          <w:szCs w:val="28"/>
          <w:u w:val="single"/>
          <w:rtl w:val="true"/>
        </w:rPr>
        <w:t>ביחס לנאשם מס</w:t>
      </w:r>
      <w:r>
        <w:rPr>
          <w:rFonts w:cs="David" w:ascii="David" w:hAnsi="David"/>
          <w:sz w:val="28"/>
          <w:szCs w:val="28"/>
          <w:u w:val="single"/>
          <w:rtl w:val="true"/>
        </w:rPr>
        <w:t xml:space="preserve">' </w:t>
      </w:r>
      <w:r>
        <w:rPr>
          <w:rFonts w:cs="David" w:ascii="David" w:hAnsi="David"/>
          <w:sz w:val="28"/>
          <w:szCs w:val="28"/>
          <w:u w:val="single"/>
        </w:rPr>
        <w:t>1</w:t>
      </w:r>
      <w:r>
        <w:rPr>
          <w:rFonts w:cs="David" w:ascii="David" w:hAnsi="David"/>
          <w:sz w:val="28"/>
          <w:szCs w:val="28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sz w:val="32"/>
          <w:szCs w:val="32"/>
          <w:u w:val="single"/>
        </w:rPr>
      </w:pPr>
      <w:r>
        <w:rPr>
          <w:rFonts w:cs="Arial" w:ascii="Arial" w:hAnsi="Arial"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הכרעת הדין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Miriam" w:hAnsi="Miriam" w:cs="Miriam"/>
          <w:rtl w:val="true"/>
        </w:rPr>
        <w:t>הנאשם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הודה בדיון מיום </w:t>
      </w:r>
      <w:r>
        <w:rPr>
          <w:rFonts w:cs="Arial" w:ascii="Arial" w:hAnsi="Arial"/>
        </w:rPr>
        <w:t>16.7.20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בעובדות כתב האישום המתוקן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והורשע על פי הודאתו בביצוע עבירה של ניסיון לרכישת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 xml:space="preserve">סיפא </w:t>
      </w:r>
      <w:r>
        <w:rPr>
          <w:rFonts w:cs="Arial" w:ascii="Arial" w:hAnsi="Arial"/>
          <w:rtl w:val="true"/>
        </w:rPr>
        <w:t xml:space="preserve">+ </w:t>
      </w:r>
      <w:hyperlink r:id="rId9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bookmarkStart w:id="8" w:name="ABSTRACT_END"/>
      <w:bookmarkEnd w:id="8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הוגש כנגד 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Miriam" w:hAnsi="Miriam" w:cs="Miriam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על פי עובדות כתב האישום המתוקן ביחס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וחסיין דרסייה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Miriam" w:hAnsi="Miriam" w:cs="Miriam"/>
          <w:rtl w:val="true"/>
        </w:rPr>
        <w:t>חסיין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הם קרובי משפחה המתגוררים בטולכרם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הנאשם לחסין קיימת היכרות מוקדמת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חודש נובמבר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קשרו הנאשם וחסיין קשר לסחור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שחסיין ימכור לנאשם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בתמורה לתשלום סכום כסף שאינו פחות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13,500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השניים תיאמו כי חסיין יגיע למקום מגוריו של הנאשם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סר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זרקא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ימסור לו את הנשק ויקבל לידיו מהנאשם את התשלום עבורו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לקשר בין חסיין לבין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25.11.19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11:00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נכנסו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וחסיין לישראל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כשהם מחזיקים ונושאים בצוותא חדא חפץ דמוי רובה סער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-16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שהוסב לירי תחמושת בקליבר </w:t>
      </w:r>
      <w:r>
        <w:rPr>
          <w:rFonts w:cs="Arial" w:ascii="Arial" w:hAnsi="Arial"/>
        </w:rPr>
        <w:t>5.56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ושמכיל חלקי נשק תקינים כגון מכלול של רובה סער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שסוגל לירות קליע או כדור שבכוחם להמית אדם וכן מחסנית לנשק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Miriam" w:hAnsi="Miriam" w:cs="Miriam"/>
          <w:rtl w:val="true"/>
        </w:rPr>
        <w:t>הנשק</w:t>
      </w:r>
      <w:r>
        <w:rPr>
          <w:rFonts w:cs="Arial" w:ascii="Arial" w:hAnsi="Arial"/>
          <w:rtl w:val="true"/>
        </w:rPr>
        <w:t>", "</w:t>
      </w:r>
      <w:r>
        <w:rPr>
          <w:rFonts w:ascii="Miriam" w:hAnsi="Miriam" w:cs="Miriam"/>
          <w:rtl w:val="true"/>
        </w:rPr>
        <w:t>האבזר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הנשק היה מפורק לחלקים שהיו ארוזים בניילון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ונמצא בתיק שחור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"</w:t>
      </w:r>
      <w:r>
        <w:rPr>
          <w:rFonts w:ascii="Miriam" w:hAnsi="Miriam" w:cs="Miriam"/>
          <w:rtl w:val="true"/>
        </w:rPr>
        <w:t>התיק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שהותם בארץ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פגשו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וחסיין בעבדאללה אבו זיד כשהוא נוהג ברכב מסוג מיצובישי לאנסר בצבע כסף שמספרו </w:t>
      </w:r>
      <w:r>
        <w:rPr>
          <w:rFonts w:cs="Arial" w:ascii="Arial" w:hAnsi="Arial"/>
        </w:rPr>
        <w:t>82-470-64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Miriam" w:hAnsi="Miriam" w:cs="Miriam"/>
          <w:rtl w:val="true"/>
        </w:rPr>
        <w:t>הרכב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וביקשו כי יסיעם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סר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זרקא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עבדאללה הסכים להסיע את השניים תמורת תשלום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בתאריך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11:30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וחסיין לכניסה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סר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זרקא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ומחזיקים בצוותא חדא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מימוש הקשר בין חסיין לבין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בכניסה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סר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זרקא נעצר הרכב על ידי אנשי 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בחיפוש שנערך ברכב נתפס הנשק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חסיין ועבדאללה נעצרו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16.7.2020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למגרה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 xml:space="preserve">),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),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 </w:t>
      </w:r>
      <w:r>
        <w:rPr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תקיף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ולשכמותו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סולדים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2.5-4.5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rtl w:val="true"/>
          </w:rPr>
          <w:t>סע</w:t>
        </w:r>
        <w:r>
          <w:rPr>
            <w:rStyle w:val="Hyperlink"/>
            <w:color w:val="0000FF"/>
            <w:rtl w:val="true"/>
          </w:rPr>
          <w:t xml:space="preserve">'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מהמכירה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. </w:t>
      </w:r>
      <w:r>
        <w:rPr>
          <w:rtl w:val="true"/>
        </w:rPr>
        <w:t>אעיר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משזה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וקליעים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)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;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המפורק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15129-07-16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עימאד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21.11.16</w:t>
      </w:r>
      <w:r>
        <w:rPr>
          <w:rtl w:val="true"/>
        </w:rPr>
        <w:t xml:space="preserve">))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rtl w:val="true"/>
          </w:rPr>
          <w:t>סע</w:t>
        </w:r>
        <w:r>
          <w:rPr>
            <w:rStyle w:val="Hyperlink"/>
            <w:color w:val="0000FF"/>
            <w:rtl w:val="true"/>
          </w:rPr>
          <w:t xml:space="preserve">' </w:t>
        </w:r>
        <w:r>
          <w:rPr>
            <w:rStyle w:val="Hyperlink"/>
            <w:color w:val="0000FF"/>
          </w:rPr>
          <w:t>499</w:t>
        </w:r>
        <w:r>
          <w:rPr>
            <w:rStyle w:val="Hyperlink"/>
            <w:color w:val="0000FF"/>
            <w:rtl w:val="true"/>
          </w:rPr>
          <w:t xml:space="preserve"> 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 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rtl w:val="true"/>
          </w:rPr>
          <w:t>סע</w:t>
        </w:r>
        <w:r>
          <w:rPr>
            <w:rStyle w:val="Hyperlink"/>
            <w:color w:val="0000FF"/>
            <w:rtl w:val="true"/>
          </w:rPr>
          <w:t xml:space="preserve">'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 xml:space="preserve"> 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10"/>
        <w:jc w:val="both"/>
        <w:rPr/>
      </w:pPr>
      <w:r>
        <w:rPr>
          <w:rtl w:val="true"/>
        </w:rPr>
        <w:t>"</w:t>
      </w:r>
      <w:r>
        <w:rPr>
          <w:rFonts w:ascii="Miriam" w:hAnsi="Miriam" w:cs="Miriam"/>
          <w:rtl w:val="true"/>
        </w:rPr>
        <w:t>עבירות המבוצעות בנשק – לרבות רכישה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החשש הוא כי נשק המוחזק שלא כדין ישמש לפעילות עבריינית העלולה להביא לפגיעה ואף לקיפוח חייהם 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אזרחים תמימים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tl w:val="true"/>
        </w:rPr>
        <w:t>בראנסי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16.8.18</w:t>
      </w:r>
      <w:r>
        <w:rPr>
          <w:rtl w:val="true"/>
        </w:rPr>
        <w:t xml:space="preserve">)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51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10"/>
        <w:jc w:val="both"/>
        <w:rPr/>
      </w:pPr>
      <w:r>
        <w:rPr>
          <w:rtl w:val="true"/>
        </w:rPr>
        <w:t>"</w:t>
      </w:r>
      <w:r>
        <w:rPr>
          <w:rFonts w:ascii="Miriam" w:hAnsi="Miriam" w:cs="Miriam"/>
          <w:rtl w:val="true"/>
        </w:rPr>
        <w:t>פעילות של סחר בלתי חוקי בנשק אוצרת בחובה פגיעה בערכים חברתיים בעלי חשיבות רבה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בהם שלמות הגוף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חיי אדם ושלום הציבור וביטחונו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כלי הנשק שנמכרו</w:t>
      </w:r>
      <w:r>
        <w:rPr>
          <w:rFonts w:cs="Miriam" w:ascii="Miriam" w:hAnsi="Miriam"/>
          <w:rtl w:val="true"/>
        </w:rPr>
        <w:tab/>
      </w:r>
      <w:r>
        <w:rPr>
          <w:rFonts w:ascii="Miriam" w:hAnsi="Miriam" w:cs="Miriam"/>
          <w:rtl w:val="true"/>
        </w:rPr>
        <w:t>במסגרת האישומים הם על פי טיבם כאלה שבאמצעותם ניתן בנקל לפגוע בשלמות הגוף ולגדוע חיי אדם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חומרת הנזק הנגרם בעקבות ביצוע עבירות כגון אלו מתעצמת במקרים כבענייננו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שבהם נמכרים כלי נשק בעלי פוטנציאל פגיעה ממשי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שהרי דין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סחר ברובה סער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בתת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מקלע או באקדח אמין ואיכותי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אינו כדין סחר באקדח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מאולתר</w:t>
      </w:r>
      <w:r>
        <w:rPr>
          <w:rFonts w:cs="Miriam" w:ascii="Miriam" w:hAnsi="Miriam"/>
          <w:rtl w:val="true"/>
        </w:rPr>
        <w:t>...</w:t>
      </w:r>
    </w:p>
    <w:p>
      <w:pPr>
        <w:pStyle w:val="Normal"/>
        <w:spacing w:lineRule="auto" w:line="360"/>
        <w:ind w:start="720" w:end="51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...</w:t>
      </w:r>
    </w:p>
    <w:p>
      <w:pPr>
        <w:pStyle w:val="Normal"/>
        <w:spacing w:lineRule="auto" w:line="360"/>
        <w:ind w:start="720" w:end="51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...</w:t>
      </w:r>
      <w:r>
        <w:rPr>
          <w:rFonts w:ascii="Miriam" w:hAnsi="Miriam" w:cs="Miriam"/>
          <w:rtl w:val="true"/>
        </w:rPr>
        <w:t>יש חשיבות בענישה מוחשית של כל אחת ואחת מהחוליות בשרשרת הסחר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 xml:space="preserve">כל אחת מאותן חוליות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 xml:space="preserve">מוחזקת כמי שמודעת לתוצאות האפשריות הקשות העלולות לנבוע מהשימוש שייעשה בנשק לאחר שיגיע אל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הצרכן הסופי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בקצה השרשרת</w:t>
      </w:r>
      <w:r>
        <w:rPr>
          <w:rFonts w:cs="Miriam" w:ascii="Miriam" w:hAnsi="Miriam"/>
          <w:rtl w:val="true"/>
        </w:rPr>
        <w:t xml:space="preserve">'... </w:t>
      </w:r>
      <w:r>
        <w:rPr>
          <w:rFonts w:ascii="Miriam" w:hAnsi="Miriam" w:cs="Miriam"/>
          <w:rtl w:val="true"/>
        </w:rPr>
        <w:t xml:space="preserve">לעניין הצורך בהחמרה בענישה ציינה השופטת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כתוארה אז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חיות בפסק הדין בעניין נפאע</w:t>
      </w:r>
      <w:r>
        <w:rPr>
          <w:rFonts w:cs="Miriam" w:ascii="Miriam" w:hAnsi="Miriam"/>
          <w:rtl w:val="true"/>
        </w:rPr>
        <w:t>:</w:t>
      </w:r>
    </w:p>
    <w:p>
      <w:pPr>
        <w:pStyle w:val="Normal"/>
        <w:spacing w:lineRule="auto" w:line="360"/>
        <w:ind w:start="720" w:end="51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ab/>
        <w:tab/>
      </w:r>
    </w:p>
    <w:p>
      <w:pPr>
        <w:pStyle w:val="Normal"/>
        <w:spacing w:lineRule="auto" w:line="360"/>
        <w:ind w:start="720" w:end="51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נוכח מימדיה המדאיגים של תופעת הסחר הבלתי חוקי 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הסכנות הנשקפות ממנה והקלות היחסית שבה ניתן לבצען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אכן הגיעה השעה – בכפוף לנסיבותיו הקונקרטיות של כל מקרה ומקרה – להחמיר בעונשים המאסר הנגזרים על נאשמים בעבירות אלו לעומת העונשים הנגזרים כיום</w:t>
      </w:r>
      <w:r>
        <w:rPr>
          <w:rFonts w:cs="Miriam" w:ascii="Miriam" w:hAnsi="Miriam"/>
          <w:rtl w:val="true"/>
        </w:rPr>
        <w:t>"(</w:t>
      </w:r>
      <w:r>
        <w:rPr>
          <w:rFonts w:ascii="Miriam" w:hAnsi="Miriam" w:cs="Miriam"/>
          <w:rtl w:val="true"/>
        </w:rPr>
        <w:t>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7</w:t>
      </w:r>
      <w:r>
        <w:rPr>
          <w:rFonts w:cs="Miriam" w:ascii="Miriam" w:hAnsi="Miriam"/>
          <w:rtl w:val="true"/>
        </w:rPr>
        <w:t>)".</w:t>
      </w:r>
    </w:p>
    <w:p>
      <w:pPr>
        <w:pStyle w:val="Normal"/>
        <w:spacing w:lineRule="auto" w:line="360"/>
        <w:ind w:start="720" w:end="51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5.11.19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10"/>
        <w:jc w:val="both"/>
        <w:rPr/>
      </w:pPr>
      <w:r>
        <w:rPr>
          <w:rtl w:val="true"/>
        </w:rPr>
        <w:t>"</w:t>
      </w:r>
      <w:r>
        <w:rPr>
          <w:rFonts w:ascii="Miriam" w:hAnsi="Miriam" w:cs="Miriam"/>
          <w:rtl w:val="true"/>
        </w:rPr>
        <w:t>אולם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לעתים מדיניות הענישה הנהוגה ביחס לעבירה מסויימת אינה מספקת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ועל בית המשפט להורות על החמרה בענישה על מנת לקדם ולהגן על הערכים אשר ביסודה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ובכך לבלום את נפיצותן של עבירות מסויימות ההופכות ל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מכת מדינה</w:t>
      </w:r>
      <w:r>
        <w:rPr>
          <w:rFonts w:cs="Miriam" w:ascii="Miriam" w:hAnsi="Miriam"/>
          <w:rtl w:val="true"/>
        </w:rPr>
        <w:t xml:space="preserve">", </w:t>
      </w:r>
      <w:r>
        <w:rPr>
          <w:rFonts w:ascii="Miriam" w:hAnsi="Miriam" w:cs="Miriam"/>
          <w:rtl w:val="true"/>
        </w:rPr>
        <w:t>ולתת ביטוי לחומרה שיש לייחס להן</w:t>
      </w:r>
      <w:r>
        <w:rPr>
          <w:rFonts w:cs="Miriam" w:ascii="Miriam" w:hAnsi="Miriam"/>
          <w:rtl w:val="true"/>
        </w:rPr>
        <w:t>.</w:t>
      </w:r>
    </w:p>
    <w:p>
      <w:pPr>
        <w:pStyle w:val="Normal"/>
        <w:spacing w:lineRule="auto" w:line="360"/>
        <w:ind w:start="720" w:end="51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המקרה שלפנינו נמנה לטעמי עם אותם מקרים חריגים אשר בהם נדרשה התערבותו של בית משפט זה בשבתו כערכאת ערעור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וזאת לנוכח מדיניות הענישה המחמירה אשר יש לנקוט כלפי העבירות הכוללות שימוש בנשק חם כאמצעי ליישוב סכסוכים</w:t>
      </w:r>
      <w:r>
        <w:rPr>
          <w:rFonts w:cs="Miriam" w:ascii="Miriam" w:hAnsi="Miriam"/>
          <w:rtl w:val="true"/>
        </w:rPr>
        <w:t xml:space="preserve">.  ... </w:t>
      </w:r>
    </w:p>
    <w:p>
      <w:pPr>
        <w:pStyle w:val="Normal"/>
        <w:spacing w:lineRule="auto" w:line="360"/>
        <w:ind w:start="720" w:end="51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start="720" w:end="510"/>
        <w:jc w:val="both"/>
        <w:rPr/>
      </w:pP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בהתאם לכך ולנוכח ריבוי מקרי הירי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יש לנקוט במדיניות ענישה מחמירה כלפי ביצוע עבירות החזקת נשק שלא כדין </w:t>
      </w:r>
      <w:r>
        <w:rPr>
          <w:rFonts w:cs="Miriam" w:ascii="Miriam" w:hAnsi="Miriam"/>
          <w:rtl w:val="true"/>
        </w:rPr>
        <w:t>...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1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בבחינת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ייבוש הביצה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המשמשת ערס לגידולן של תופעות אלה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מהלך כזה מחייב הירתמות גם של בתי המשפט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 ידי ענישה מחמירה ומרתיעה לעבירות נשק בלתי חוקי באשר הן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וכל שכן מקום שנעשה בנשק כזה שימוש בביצוע עבירות אלימות למיניהן</w:t>
      </w:r>
      <w:r>
        <w:rPr>
          <w:rFonts w:cs="Miriam" w:ascii="Miriam" w:hAnsi="Miriam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13,500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בכלי נשק בודד מסוג דמוי רובה סער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שמכיל חלקי נשק תקינים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היה מפורק לחלקים וללא תחמושת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מחלקו של הנאשם במסכת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הוא הרוכש שהביא ליצירתה של אותה עסקה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האירועים שהתלוו לכך בהמשך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נסיבות שאינן 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כפי שפורט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אין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 וחסך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חסך את הצורך בשמיעת עדויות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שוהה במעצר תקופה משמעותית מיום </w:t>
      </w:r>
      <w:r>
        <w:rPr>
          <w:rFonts w:cs="Arial" w:ascii="Arial" w:hAnsi="Arial"/>
        </w:rPr>
        <w:t>26.11.19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 וקביעת העונש ההולם לנאשם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הפסיקה אליה הפנתה המאשימה ברובה אינה משקפת מקרים בעלי נסיבות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וכידוע יש להביא בחשבון נסיבותיו הספציפיות של הנאשם והמקרה בעת קביעת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הפנתה לפסיקה הקובעת מדרגי חומרה ביחס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ואכן עבירות של רכישה והחזקה הוצבו במדרג נמוך יותר לעומת עבירות הובלה ונשיאה שהוצבו במעמד ביניים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עבירות סחר 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סוווגו במדרג חומרה גבוה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r>
        <w:rPr>
          <w:rFonts w:ascii="Arial" w:hAnsi="Arial" w:cs="Arial"/>
          <w:b/>
          <w:b/>
          <w:bCs/>
          <w:rtl w:val="true"/>
        </w:rPr>
        <w:t>עניין סלימאן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בתי המשפט משיתים ענישה מגוונת בגין עבירות בנשק ומנעד הענישה הינו רחב ונקבע בהתאם למיקומן של עבירות הנשק באותו מדרג של 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בהתחשב בסוג הנשק ובטיבו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</w:t>
      </w:r>
      <w:hyperlink r:id="rId26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34</w:t>
        </w:r>
        <w:r>
          <w:rPr>
            <w:rStyle w:val="Hyperlink"/>
            <w:rFonts w:ascii="Arial" w:hAnsi="Arial" w:cs="Arial"/>
            <w:color w:val="0000FF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העונש הצפוי למורשע בניסיון לעבור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העונש הקבוע לצידה של העבירה המושלמת אותה ניסה לבצע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שהראתה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אם עסקת הנשק לא הושלמה ומדובר בהרשעה בגין ניסיון מתחם העונש עומד על כמחצית ממתחם העונש בגין עסקה בנשק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ראו</w:t>
      </w:r>
      <w:r>
        <w:rPr>
          <w:rFonts w:cs="Arial" w:ascii="Arial" w:hAnsi="Arial"/>
          <w:rtl w:val="true"/>
        </w:rPr>
        <w:t xml:space="preserve">: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39998-08-15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קישק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27.10.16</w:t>
      </w:r>
      <w:r>
        <w:rPr>
          <w:rFonts w:cs="Arial" w:ascii="Arial" w:hAnsi="Arial"/>
          <w:rtl w:val="true"/>
        </w:rPr>
        <w:t xml:space="preserve">),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20778-11-12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סלפיתי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5.5.13</w:t>
      </w:r>
      <w:r>
        <w:rPr>
          <w:rFonts w:cs="Arial" w:ascii="Arial" w:hAnsi="Arial"/>
          <w:rtl w:val="true"/>
        </w:rPr>
        <w:t xml:space="preserve">),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67703-11-16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מוגרבי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22.11.17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לאחר שבחנתי את הענישה בעבירות דומות ובפסיקה שהוצגה בפני על ידי שני הצדים סבורני כי יש להעמיד את מתחם הענישה במקרה זה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עונשים נלווים של מאסר על תנאי וקנס כספי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הכספי מוטל נוכח תכליתה הכלכלית של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בהתחשב בנסיבותיו של הנאשם שאינן קשורות בביצוע העבירה סבורני מבלי להקל ראש בחומרת העבירה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לקבוע את העונש ברף התחתון של המדרג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יינתן ביטוי מחד למהות המעשים ולחומרתם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לנתוני הנאשם ונסיבותיו האישיות ועברו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שבסופו של יום תתקבל תוצאה עונשית מידתית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ומכל הטעמים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מטיל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26.11.19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שהנאשם לא יעבור תוך תקופה של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שלוש 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עבירה בנשק מסוג פשע ויורשע בגינה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שהנאשם לא יעבור תוך תקופה של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שלוש 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עבירה בנשק מסוג עוון ויורשע בגינה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מחייב את הנאשם בתשלום 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עשרים ימי מאסר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בתוך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ממועד סיום ריצוי עונש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 עמידה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בתשלום במועד תגרור תוספת פיגורים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הודעה זכות ערעור לבית המשפט העליון תוך ארבעים וחמישה 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סארי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23648-12-19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סעדו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רבאן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d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6244124" TargetMode="External"/><Relationship Id="rId13" Type="http://schemas.openxmlformats.org/officeDocument/2006/relationships/hyperlink" Target="http://www.nevo.co.il/case/21771409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23750625" TargetMode="External"/><Relationship Id="rId24" Type="http://schemas.openxmlformats.org/officeDocument/2006/relationships/hyperlink" Target="http://www.nevo.co.il/case/25824863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law/70301/34d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0523508" TargetMode="External"/><Relationship Id="rId29" Type="http://schemas.openxmlformats.org/officeDocument/2006/relationships/hyperlink" Target="http://www.nevo.co.il/case/4036214" TargetMode="External"/><Relationship Id="rId30" Type="http://schemas.openxmlformats.org/officeDocument/2006/relationships/hyperlink" Target="http://www.nevo.co.il/case/21688764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2020-08-02T08:22:00Z</dcterms:created>
  <dc:creator> </dc:creator>
  <dc:description/>
  <cp:keywords/>
  <dc:language>en-IL</dc:language>
  <cp:lastModifiedBy>h10</cp:lastModifiedBy>
  <dcterms:modified xsi:type="dcterms:W3CDTF">2020-08-02T08:22:00Z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סעדו ג'רבאן;אנס זאיט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ProcID=209&amp;PartA=15129&amp;PartB=07&amp;PartC=16</vt:lpwstr>
  </property>
  <property fmtid="{D5CDD505-2E9C-101B-9397-08002B2CF9AE}" pid="10" name="CASESLISTTMP1">
    <vt:lpwstr>7791493:4;6244124;21771409;23750625;25824863;20523508;4036214;21688764</vt:lpwstr>
  </property>
  <property fmtid="{D5CDD505-2E9C-101B-9397-08002B2CF9AE}" pid="11" name="CITY">
    <vt:lpwstr>חי'</vt:lpwstr>
  </property>
  <property fmtid="{D5CDD505-2E9C-101B-9397-08002B2CF9AE}" pid="12" name="DATE">
    <vt:lpwstr>20200727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סארי ג'יוסי</vt:lpwstr>
  </property>
  <property fmtid="{D5CDD505-2E9C-101B-9397-08002B2CF9AE}" pid="16" name="LAWLISTTMP1">
    <vt:lpwstr>70301/144.a:3;025;144;499.a.1;034d</vt:lpwstr>
  </property>
  <property fmtid="{D5CDD505-2E9C-101B-9397-08002B2CF9AE}" pid="17" name="LAWYER">
    <vt:lpwstr>נג'וא סלימאן;מיכל קורן;מירב חורי;מיכאל יפרח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23648</vt:lpwstr>
  </property>
  <property fmtid="{D5CDD505-2E9C-101B-9397-08002B2CF9AE}" pid="24" name="NEWPARTB">
    <vt:lpwstr>12</vt:lpwstr>
  </property>
  <property fmtid="{D5CDD505-2E9C-101B-9397-08002B2CF9AE}" pid="25" name="NEWPARTC">
    <vt:lpwstr>19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390020200727</vt:lpwstr>
  </property>
  <property fmtid="{D5CDD505-2E9C-101B-9397-08002B2CF9AE}" pid="36" name="TYPE_N_DATE">
    <vt:lpwstr>39020200727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