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23786-12-14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חמדה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2015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060"/>
        <w:gridCol w:w="2660"/>
      </w:tblGrid>
      <w:tr>
        <w:trPr>
          <w:trHeight w:val="337" w:hRule="atLeast"/>
        </w:trPr>
        <w:tc>
          <w:tcPr>
            <w:tcW w:w="606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סגנית נשיא רות לורך</w:t>
            </w:r>
          </w:p>
        </w:tc>
        <w:tc>
          <w:tcPr>
            <w:tcW w:w="2660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נידאל חמדה </w:t>
            </w:r>
          </w:p>
        </w:tc>
      </w:tr>
    </w:tbl>
    <w:p>
      <w:pPr>
        <w:pStyle w:val="Normal"/>
        <w:ind w:end="0"/>
        <w:jc w:val="start"/>
        <w:rPr>
          <w:rStyle w:val="LineNumber"/>
          <w:rFonts w:ascii="Arial" w:hAnsi="Arial" w:cs="Arial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Style w:val="LineNumber"/>
          <w:rFonts w:ascii="Arial" w:hAnsi="Arial" w:cs="Arial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Style w:val="LineNumber"/>
          <w:rFonts w:ascii="Arial" w:hAnsi="Arial" w:cs="Arial"/>
          <w:sz w:val="6"/>
          <w:szCs w:val="6"/>
        </w:rPr>
      </w:pPr>
      <w:r>
        <w:rPr>
          <w:rStyle w:val="LineNumber"/>
          <w:rFonts w:cs="Arial" w:ascii="Arial" w:hAnsi="Arial"/>
          <w:sz w:val="6"/>
          <w:szCs w:val="6"/>
          <w:rtl w:val="true"/>
        </w:rPr>
        <w:t>&lt;</w:t>
      </w:r>
      <w:r>
        <w:rPr>
          <w:rStyle w:val="LineNumber"/>
          <w:rFonts w:cs="Arial" w:ascii="Arial" w:hAnsi="Arial"/>
          <w:sz w:val="6"/>
          <w:szCs w:val="6"/>
        </w:rPr>
        <w:t>#2#</w:t>
      </w:r>
      <w:r>
        <w:rPr>
          <w:rStyle w:val="LineNumber"/>
          <w:rFonts w:cs="Arial" w:ascii="Arial" w:hAnsi="Arial"/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2"/>
      <w:r>
        <w:rPr>
          <w:u w:val="none"/>
          <w:rtl w:val="true"/>
        </w:rPr>
        <w:t xml:space="preserve"> המאשימה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יעל זליג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br/>
      </w: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u w:val="none"/>
          <w:rtl w:val="true"/>
        </w:rPr>
        <w:t>נחמן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u w:val="none"/>
          <w:rtl w:val="true"/>
        </w:rPr>
        <w:t>בטיטו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הובא על ידי 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ס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Normal"/>
        <w:spacing w:lineRule="auto" w:line="360" w:before="0" w:after="1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 w:before="0" w:after="1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Start w:id="5" w:name="LawTable_End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Times New Roman" w:cs="Calibri"/>
        </w:rPr>
      </w:pPr>
      <w:bookmarkStart w:id="6" w:name="PsakDin"/>
      <w:bookmarkStart w:id="7" w:name="ABSTRACT_START"/>
      <w:bookmarkEnd w:id="6"/>
      <w:bookmarkEnd w:id="7"/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הודאתו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שעניינן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החזקת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בניגוד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לסעיף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6"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רישא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</w:t>
      </w:r>
      <w:hyperlink r:id="rId7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העונשין</w:t>
        </w:r>
      </w:hyperlink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סחר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בנשק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בניגוד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8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החזקת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ואביזרים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בניגוד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לסעיף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9"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וקשירת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בניגוד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10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499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לחוק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Times New Roman" w:cs="Calibri"/>
        </w:rPr>
      </w:pPr>
      <w:bookmarkStart w:id="8" w:name="ABSTRACT_END"/>
      <w:bookmarkEnd w:id="8"/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הגיעו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להסדר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עותרים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לגזור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בנוסף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עותרת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להטיל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משמעותי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ההגנה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עותרת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להימנע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להסתפק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לחילופין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מתון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פירטו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השיקולים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שהביאו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להסדר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הטיעון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לטעמי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בשיקולים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ומוצדקים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בסופו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הטיעון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משקף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האיזון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השיקולים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השונים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לחומרת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לחומרה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לזקוף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עצמן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הכוללות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והחזקת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במהלך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שאיננה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ידועה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במדויק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למאשימה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גדולה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בסוגי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מגוונים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הללו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נתפסו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נמצא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תיעוד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תמונותיהם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בטלפון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הנייד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התקין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אפליקציה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המיועדת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להסתרת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התמונות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לפיכך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תחכום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וכמובן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הציבור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לקולא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לזקוף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הודאתו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הודאה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שחסכה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עדויות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רבים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פירט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המיוחדות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ההחזקה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והסחר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בענייננו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מידע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אודותיהם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המדויקת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במהלכה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בוצעו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נמכר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שלפחות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הוחזק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לסחור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בנוסף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יליד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1993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נעדר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הסתבכות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בפלילים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מעצרו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ומאסרו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הראשון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לרכיב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הקנס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בהטלתו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בפרט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המצוין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בוצעו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השגת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רווח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כספי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מהיר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בקביעת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אתחשב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בשיקולים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שצוינו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בעובדה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עתיד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לרצות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קצר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בטענת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הסניגור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קצבת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הבטחת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הכנסה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העובדה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היקף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ברור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המפורט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גוזרת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הבאים</w:t>
      </w:r>
      <w:r>
        <w:rPr>
          <w:rFonts w:eastAsia="Times New Roman"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eastAsia="Times New Roman" w:cs="Calibri" w:ascii="Calibri" w:hAnsi="Calibri"/>
        </w:rPr>
        <w:t>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שתחילתו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מעצרו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– </w:t>
      </w:r>
      <w:r>
        <w:rPr>
          <w:rFonts w:eastAsia="Times New Roman" w:cs="Calibri" w:ascii="Calibri" w:hAnsi="Calibri"/>
        </w:rPr>
        <w:t>2.11.14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eastAsia="Times New Roman" w:cs="Calibri" w:ascii="Calibri" w:hAnsi="Calibri"/>
        </w:rPr>
        <w:t>8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שחרורו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פשע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eastAsia="Times New Roman" w:cs="Calibri" w:ascii="Calibri" w:hAnsi="Calibri"/>
        </w:rPr>
        <w:t>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שחרורו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עוון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</w:rPr>
        <w:t>4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קנס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7,000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שישולם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7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תשלומים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שווים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ורצופים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הראשון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1.1.16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60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תמורתו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eastAsia="Times New Roman" w:cs="Calibri"/>
          <w:b/>
          <w:bCs/>
        </w:rPr>
      </w:pPr>
      <w:r>
        <w:rPr>
          <w:rFonts w:ascii="Calibri" w:hAnsi="Calibri" w:eastAsia="Times New Roman" w:cs="Calibri"/>
          <w:b/>
          <w:b/>
          <w:bCs/>
          <w:rtl w:val="true"/>
        </w:rPr>
        <w:t>הודעה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לנאשם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זכותו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לערער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לביהמ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ש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העליון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תוך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</w:rPr>
        <w:t>45</w:t>
      </w:r>
      <w:r>
        <w:rPr>
          <w:rFonts w:eastAsia="Times New Roman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יום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מהיום</w:t>
      </w:r>
      <w:r>
        <w:rPr>
          <w:rFonts w:eastAsia="Times New Roman"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Style w:val="LineNumber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Style w:val="LineNumber"/>
          <w:sz w:val="6"/>
          <w:szCs w:val="6"/>
        </w:rPr>
      </w:pPr>
      <w:r>
        <w:rPr>
          <w:rStyle w:val="LineNumber"/>
          <w:sz w:val="6"/>
          <w:szCs w:val="6"/>
          <w:rtl w:val="true"/>
        </w:rPr>
        <w:t>&lt;</w:t>
      </w:r>
      <w:r>
        <w:rPr>
          <w:rStyle w:val="LineNumber"/>
          <w:sz w:val="6"/>
          <w:szCs w:val="6"/>
        </w:rPr>
        <w:t>#4#</w:t>
      </w:r>
      <w:r>
        <w:rPr>
          <w:rStyle w:val="LineNumber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Style w:val="LineNumber"/>
          <w:sz w:val="6"/>
          <w:szCs w:val="6"/>
        </w:rPr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ניתן והודע היום 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כסלו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17/11/2015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רות לורך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סגנית נשיא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רות לורך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1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23786-12-14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נידאל חמדה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rial12">
    <w:name w:val="סגנון (לטיני) Arial ‏12 נק' מיושר לשני הצדדים מרווח בין שורות:  ..."/>
    <w:basedOn w:val="Normal"/>
    <w:qFormat/>
    <w:pPr>
      <w:spacing w:lineRule="auto" w:line="360"/>
      <w:jc w:val="both"/>
    </w:pPr>
    <w:rPr>
      <w:rFonts w:ascii="Arial" w:hAnsi="Arial" w:eastAsia="Times New Roman" w:cs="Arial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.2" TargetMode="External"/><Relationship Id="rId5" Type="http://schemas.openxmlformats.org/officeDocument/2006/relationships/hyperlink" Target="http://www.nevo.co.il/law/70301/499.a.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.2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advertisements/nevo-100.doc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2015-11-25T08:37:00Z</dcterms:created>
  <dc:creator> </dc:creator>
  <dc:description/>
  <cp:keywords/>
  <dc:language>en-IL</dc:language>
  <cp:lastModifiedBy>hofit</cp:lastModifiedBy>
  <dcterms:modified xsi:type="dcterms:W3CDTF">2015-11-25T08:37:00Z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נידאל חמדה</vt:lpwstr>
  </property>
  <property fmtid="{D5CDD505-2E9C-101B-9397-08002B2CF9AE}" pid="4" name="CITY">
    <vt:lpwstr>מרכז</vt:lpwstr>
  </property>
  <property fmtid="{D5CDD505-2E9C-101B-9397-08002B2CF9AE}" pid="5" name="DATE">
    <vt:lpwstr>20151117</vt:lpwstr>
  </property>
  <property fmtid="{D5CDD505-2E9C-101B-9397-08002B2CF9AE}" pid="6" name="ISABSTRACT">
    <vt:lpwstr>Y</vt:lpwstr>
  </property>
  <property fmtid="{D5CDD505-2E9C-101B-9397-08002B2CF9AE}" pid="7" name="JUDGE">
    <vt:lpwstr>רות לורך</vt:lpwstr>
  </property>
  <property fmtid="{D5CDD505-2E9C-101B-9397-08002B2CF9AE}" pid="8" name="LAWLISTTMP1">
    <vt:lpwstr>70301/144.a:2;144.b.2;499.a.1</vt:lpwstr>
  </property>
  <property fmtid="{D5CDD505-2E9C-101B-9397-08002B2CF9AE}" pid="9" name="LAWYER">
    <vt:lpwstr>יעל זליג נחמן בטיטו</vt:lpwstr>
  </property>
  <property fmtid="{D5CDD505-2E9C-101B-9397-08002B2CF9AE}" pid="10" name="NEWPARTA">
    <vt:lpwstr>23786</vt:lpwstr>
  </property>
  <property fmtid="{D5CDD505-2E9C-101B-9397-08002B2CF9AE}" pid="11" name="NEWPARTB">
    <vt:lpwstr>12</vt:lpwstr>
  </property>
  <property fmtid="{D5CDD505-2E9C-101B-9397-08002B2CF9AE}" pid="12" name="NEWPARTC">
    <vt:lpwstr>14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390020151117</vt:lpwstr>
  </property>
  <property fmtid="{D5CDD505-2E9C-101B-9397-08002B2CF9AE}" pid="17" name="TYPE_N_DATE">
    <vt:lpwstr>39020151117</vt:lpwstr>
  </property>
  <property fmtid="{D5CDD505-2E9C-101B-9397-08002B2CF9AE}" pid="18" name="WORDNUMPAGES">
    <vt:lpwstr>2</vt:lpwstr>
  </property>
</Properties>
</file>