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מרעי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מרעי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עימאד ראמל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-p"/>
        <w:bidi w:val="1"/>
        <w:ind w:end="0"/>
        <w:jc w:val="start"/>
        <w:rPr/>
      </w:pPr>
      <w:r>
        <w:rPr>
          <w:rStyle w:val="12-h1"/>
          <w:rFonts w:cs="David"/>
          <w:rtl w:val="true"/>
        </w:rPr>
        <w:t>מטעם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המאשימה</w:t>
      </w:r>
      <w:r>
        <w:rPr>
          <w:rStyle w:val="12-h1"/>
          <w:rFonts w:cs="David"/>
          <w:rtl w:val="true"/>
        </w:rPr>
        <w:t xml:space="preserve">: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אבי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פסטרנק</w:t>
      </w:r>
    </w:p>
    <w:p>
      <w:pPr>
        <w:pStyle w:val="12-p"/>
        <w:bidi w:val="1"/>
        <w:ind w:end="0"/>
        <w:jc w:val="start"/>
        <w:rPr/>
      </w:pPr>
      <w:r>
        <w:rPr>
          <w:rStyle w:val="12-h1"/>
          <w:rFonts w:cs="David"/>
          <w:rtl w:val="true"/>
        </w:rPr>
        <w:t>מטעם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הנאשם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</w:rPr>
        <w:t>1</w:t>
      </w:r>
      <w:r>
        <w:rPr>
          <w:rStyle w:val="12-h1"/>
          <w:rFonts w:cs="David"/>
          <w:rtl w:val="true"/>
        </w:rPr>
        <w:t xml:space="preserve">: </w:t>
      </w:r>
      <w:r>
        <w:rPr>
          <w:rStyle w:val="12-h1"/>
          <w:rFonts w:cs="David"/>
          <w:rtl w:val="true"/>
        </w:rPr>
        <w:t>בעצמו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וע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י</w:t>
      </w:r>
      <w:r>
        <w:rPr>
          <w:rStyle w:val="12-h1"/>
          <w:rtl w:val="true"/>
        </w:rPr>
        <w:t xml:space="preserve"> </w:t>
      </w:r>
      <w:bookmarkStart w:id="2" w:name="FirstLawyer"/>
      <w:r>
        <w:rPr>
          <w:rStyle w:val="12-h1"/>
          <w:rFonts w:cs="David"/>
          <w:rtl w:val="true"/>
        </w:rPr>
        <w:t>ב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כ</w:t>
      </w:r>
      <w:bookmarkEnd w:id="2"/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לילך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לוי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מלאך</w:t>
      </w:r>
    </w:p>
    <w:p>
      <w:pPr>
        <w:pStyle w:val="12-p"/>
        <w:bidi w:val="1"/>
        <w:ind w:end="0"/>
        <w:jc w:val="start"/>
        <w:rPr>
          <w:rStyle w:val="12-h1"/>
          <w:rFonts w:cs="David"/>
          <w:b w:val="false"/>
          <w:bCs w:val="false"/>
        </w:rPr>
      </w:pPr>
      <w:r>
        <w:rPr>
          <w:rStyle w:val="12-h1"/>
          <w:rFonts w:cs="David"/>
          <w:rtl w:val="true"/>
        </w:rPr>
        <w:t>מטעם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הנאשם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</w:rPr>
        <w:t>2</w:t>
      </w:r>
      <w:r>
        <w:rPr>
          <w:rStyle w:val="12-h1"/>
          <w:rFonts w:cs="David"/>
          <w:rtl w:val="true"/>
        </w:rPr>
        <w:t xml:space="preserve">: </w:t>
      </w:r>
      <w:r>
        <w:rPr>
          <w:rStyle w:val="12-h1"/>
          <w:rFonts w:cs="David"/>
          <w:rtl w:val="true"/>
        </w:rPr>
        <w:t>בעצמו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וע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י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ב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כ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דאהר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מהד</w:t>
      </w:r>
      <w:bookmarkStart w:id="3" w:name="LawTable"/>
      <w:bookmarkEnd w:id="3"/>
    </w:p>
    <w:p>
      <w:pPr>
        <w:pStyle w:val="12-p"/>
        <w:bidi w:val="1"/>
        <w:spacing w:lineRule="exact" w:line="240" w:before="0" w:after="120"/>
        <w:ind w:hanging="283" w:start="283" w:end="0"/>
        <w:jc w:val="both"/>
        <w:rPr>
          <w:rStyle w:val="12-h1"/>
          <w:rFonts w:ascii="FrankRuehl" w:hAnsi="FrankRuehl" w:cs="FrankRuehl"/>
          <w:b w:val="false"/>
          <w:bCs w:val="false"/>
        </w:rPr>
      </w:pPr>
      <w:r>
        <w:rPr>
          <w:rtl w:val="true"/>
        </w:rPr>
      </w:r>
    </w:p>
    <w:p>
      <w:pPr>
        <w:pStyle w:val="12-p"/>
        <w:bidi w:val="1"/>
        <w:spacing w:lineRule="exact" w:line="240" w:before="0" w:after="120"/>
        <w:ind w:hanging="283" w:start="283" w:end="0"/>
        <w:jc w:val="both"/>
        <w:rPr/>
      </w:pPr>
      <w:r>
        <w:rPr>
          <w:rStyle w:val="12-h1"/>
          <w:rFonts w:ascii="FrankRuehl" w:hAnsi="FrankRuehl" w:cs="FrankRuehl"/>
          <w:b w:val="false"/>
          <w:b w:val="false"/>
          <w:bCs w:val="false"/>
          <w:rtl w:val="true"/>
        </w:rPr>
        <w:t>חקיקה שאוזכרה</w:t>
      </w:r>
      <w:r>
        <w:rPr>
          <w:rStyle w:val="12-h1"/>
          <w:rFonts w:cs="FrankRuehl" w:ascii="FrankRuehl" w:hAnsi="FrankRuehl"/>
          <w:b w:val="false"/>
          <w:bCs w:val="false"/>
          <w:rtl w:val="true"/>
        </w:rPr>
        <w:t xml:space="preserve">: </w:t>
      </w:r>
    </w:p>
    <w:p>
      <w:pPr>
        <w:pStyle w:val="12-p"/>
        <w:bidi w:val="1"/>
        <w:spacing w:lineRule="exact" w:line="240" w:before="0" w:after="120"/>
        <w:ind w:hanging="283" w:start="283" w:end="0"/>
        <w:jc w:val="both"/>
        <w:rPr>
          <w:rStyle w:val="12-h1"/>
          <w:rFonts w:ascii="FrankRuehl" w:hAnsi="FrankRuehl" w:cs="FrankRuehl"/>
          <w:b w:val="false"/>
          <w:bCs w:val="false"/>
        </w:rPr>
      </w:pPr>
      <w:hyperlink r:id="rId2"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</w:rPr>
          <w:t>1977</w:t>
        </w:r>
      </w:hyperlink>
      <w:r>
        <w:rPr>
          <w:rStyle w:val="12-h1"/>
          <w:rFonts w:cs="FrankRuehl" w:ascii="FrankRuehl" w:hAnsi="FrankRuehl"/>
          <w:b w:val="false"/>
          <w:bCs w:val="false"/>
          <w:rtl w:val="true"/>
        </w:rPr>
        <w:t xml:space="preserve">: </w:t>
      </w:r>
      <w:r>
        <w:rPr>
          <w:rStyle w:val="12-h1"/>
          <w:rFonts w:ascii="FrankRuehl" w:hAnsi="FrankRuehl" w:cs="FrankRuehl"/>
          <w:b w:val="false"/>
          <w:b w:val="false"/>
          <w:bCs w:val="false"/>
          <w:rtl w:val="true"/>
        </w:rPr>
        <w:t>סע</w:t>
      </w:r>
      <w:r>
        <w:rPr>
          <w:rStyle w:val="12-h1"/>
          <w:rFonts w:cs="FrankRuehl" w:ascii="FrankRuehl" w:hAnsi="FrankRuehl"/>
          <w:b w:val="false"/>
          <w:bCs w:val="false"/>
          <w:rtl w:val="true"/>
        </w:rPr>
        <w:t xml:space="preserve">'  </w:t>
      </w:r>
      <w:hyperlink r:id="rId3"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</w:rPr>
          <w:t>29</w:t>
        </w:r>
      </w:hyperlink>
      <w:r>
        <w:rPr>
          <w:rStyle w:val="12-h1"/>
          <w:rFonts w:cs="FrankRuehl" w:ascii="FrankRuehl" w:hAnsi="FrankRuehl"/>
          <w:b w:val="false"/>
          <w:bCs w:val="false"/>
          <w:rtl w:val="true"/>
        </w:rPr>
        <w:t xml:space="preserve">, </w:t>
      </w:r>
      <w:hyperlink r:id="rId4"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</w:rPr>
          <w:t>144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)</w:t>
        </w:r>
      </w:hyperlink>
    </w:p>
    <w:p>
      <w:pPr>
        <w:pStyle w:val="12-p"/>
        <w:bidi w:val="1"/>
        <w:spacing w:lineRule="exact" w:line="240" w:before="0" w:after="120"/>
        <w:ind w:hanging="283" w:start="283" w:end="0"/>
        <w:jc w:val="both"/>
        <w:rPr>
          <w:rStyle w:val="12-h1"/>
          <w:rFonts w:ascii="FrankRuehl" w:hAnsi="FrankRuehl" w:cs="FrankRuehl"/>
          <w:b w:val="false"/>
          <w:bCs w:val="false"/>
        </w:rPr>
      </w:pPr>
      <w:hyperlink r:id="rId5"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פקודת המבחן 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</w:rPr>
          <w:t>1969</w:t>
        </w:r>
      </w:hyperlink>
      <w:r>
        <w:rPr>
          <w:rStyle w:val="12-h1"/>
          <w:rFonts w:cs="FrankRuehl" w:ascii="FrankRuehl" w:hAnsi="FrankRuehl"/>
          <w:b w:val="false"/>
          <w:bCs w:val="false"/>
          <w:rtl w:val="true"/>
        </w:rPr>
        <w:t xml:space="preserve">: </w:t>
      </w:r>
      <w:r>
        <w:rPr>
          <w:rStyle w:val="12-h1"/>
          <w:rFonts w:ascii="FrankRuehl" w:hAnsi="FrankRuehl" w:cs="FrankRuehl"/>
          <w:b w:val="false"/>
          <w:b w:val="false"/>
          <w:bCs w:val="false"/>
          <w:rtl w:val="true"/>
        </w:rPr>
        <w:t>סע</w:t>
      </w:r>
      <w:r>
        <w:rPr>
          <w:rStyle w:val="12-h1"/>
          <w:rFonts w:cs="FrankRuehl" w:ascii="FrankRuehl" w:hAnsi="FrankRuehl"/>
          <w:b w:val="false"/>
          <w:bCs w:val="false"/>
          <w:rtl w:val="true"/>
        </w:rPr>
        <w:t xml:space="preserve">'  </w:t>
      </w:r>
      <w:hyperlink r:id="rId6"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</w:rPr>
          <w:t>1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</w:rPr>
          <w:t>1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Times New Roman" w:ascii="FrankRuehl" w:hAnsi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FrankRuehl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)</w:t>
        </w:r>
      </w:hyperlink>
    </w:p>
    <w:p>
      <w:pPr>
        <w:pStyle w:val="12-p"/>
        <w:bidi w:val="1"/>
        <w:spacing w:lineRule="exact" w:line="240" w:before="0" w:after="120"/>
        <w:ind w:hanging="283" w:start="283" w:end="0"/>
        <w:jc w:val="both"/>
        <w:rPr>
          <w:rStyle w:val="12-h1"/>
          <w:rFonts w:ascii="FrankRuehl" w:hAnsi="FrankRuehl" w:cs="FrankRuehl"/>
          <w:b w:val="false"/>
          <w:bCs w:val="false"/>
        </w:rPr>
      </w:pPr>
      <w:r>
        <w:rPr>
          <w:rtl w:val="true"/>
        </w:rPr>
      </w:r>
    </w:p>
    <w:p>
      <w:pPr>
        <w:pStyle w:val="12-p"/>
        <w:bidi w:val="1"/>
        <w:ind w:end="0"/>
        <w:jc w:val="start"/>
        <w:rPr>
          <w:rStyle w:val="12-h1"/>
          <w:rFonts w:cs="David"/>
          <w:b w:val="false"/>
          <w:bCs w:val="false"/>
        </w:rPr>
      </w:pPr>
      <w:r>
        <w:rPr>
          <w:rtl w:val="true"/>
        </w:rPr>
      </w:r>
      <w:bookmarkStart w:id="4" w:name="LawTable_End"/>
      <w:bookmarkStart w:id="5" w:name="LawTable_End"/>
      <w:bookmarkEnd w:id="5"/>
    </w:p>
    <w:p>
      <w:pPr>
        <w:pStyle w:val="12-p"/>
        <w:bidi w:val="1"/>
        <w:ind w:end="0"/>
        <w:jc w:val="start"/>
        <w:rPr>
          <w:rStyle w:val="12-h1"/>
          <w:rFonts w:cs="David"/>
        </w:rPr>
      </w:pPr>
      <w:r>
        <w:rPr>
          <w:rtl w:val="true"/>
        </w:rPr>
      </w:r>
    </w:p>
    <w:p>
      <w:pPr>
        <w:pStyle w:val="12-p"/>
        <w:bidi w:val="1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Style w:val="12-h1"/>
          <w:rFonts w:cs="David"/>
          <w:rtl w:val="true"/>
        </w:rPr>
        <w:t>י</w:t>
      </w:r>
    </w:p>
    <w:p>
      <w:pPr>
        <w:pStyle w:val="12-p"/>
        <w:bidi w:val="1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12-p"/>
        <w:bidi w:val="1"/>
        <w:ind w:end="0"/>
        <w:jc w:val="start"/>
        <w:rPr/>
      </w:pPr>
      <w:r>
        <w:rPr>
          <w:rtl w:val="true"/>
        </w:rPr>
      </w:r>
    </w:p>
    <w:p>
      <w:pPr>
        <w:pStyle w:val="12-p"/>
        <w:bidi w:val="1"/>
        <w:ind w:end="0"/>
        <w:jc w:val="start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Style14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Style14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הנאשמים בתיק זה 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הודאתם בעובדות כתב</w:t>
      </w:r>
      <w:r>
        <w:rPr>
          <w:rtl w:val="true"/>
        </w:rPr>
        <w:t>-</w:t>
      </w:r>
      <w:r>
        <w:rPr>
          <w:rtl w:val="true"/>
        </w:rPr>
        <w:t xml:space="preserve">אישום מתוקן מיום </w:t>
      </w:r>
      <w:r>
        <w:rPr/>
        <w:t>05.01.12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 האישום</w:t>
      </w:r>
      <w:r>
        <w:rPr>
          <w:rtl w:val="true"/>
        </w:rPr>
        <w:t xml:space="preserve">"), </w:t>
      </w:r>
      <w:r>
        <w:rPr>
          <w:rtl w:val="true"/>
        </w:rPr>
        <w:t xml:space="preserve">בעבירה של </w:t>
      </w:r>
      <w:r>
        <w:rPr>
          <w:u w:val="single"/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Style14"/>
        <w:ind w:end="0"/>
        <w:jc w:val="both"/>
        <w:rPr/>
      </w:pPr>
      <w:r>
        <w:rPr>
          <w:b/>
          <w:b/>
          <w:bCs/>
          <w:u w:val="single"/>
          <w:rtl w:val="true"/>
        </w:rPr>
        <w:t>העובדות בתמצית</w:t>
      </w:r>
    </w:p>
    <w:p>
      <w:pPr>
        <w:pStyle w:val="Style14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בלילה שבין ה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באוקטובר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נסע עימאד רמאל</w:t>
      </w:r>
      <w:r>
        <w:rPr>
          <w:rtl w:val="true"/>
        </w:rPr>
        <w:t xml:space="preserve">, </w:t>
      </w:r>
      <w:r>
        <w:rPr>
          <w:rtl w:val="true"/>
        </w:rPr>
        <w:t xml:space="preserve">הוא הנאשם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עימאד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"), </w:t>
      </w:r>
      <w:r>
        <w:rPr>
          <w:rtl w:val="true"/>
        </w:rPr>
        <w:t xml:space="preserve">יחד עם סארי שחאדה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סארי</w:t>
      </w:r>
      <w:r>
        <w:rPr>
          <w:rtl w:val="true"/>
        </w:rPr>
        <w:t xml:space="preserve">"), </w:t>
      </w:r>
      <w:r>
        <w:rPr>
          <w:rtl w:val="true"/>
        </w:rPr>
        <w:t xml:space="preserve">אשר שירת באותה העת כלוחם בגדוד </w:t>
      </w:r>
      <w:r>
        <w:rPr>
          <w:rtl w:val="true"/>
        </w:rPr>
        <w:t>"</w:t>
      </w:r>
      <w:r>
        <w:rPr>
          <w:rtl w:val="true"/>
        </w:rPr>
        <w:t>חרב</w:t>
      </w:r>
      <w:r>
        <w:rPr>
          <w:rtl w:val="true"/>
        </w:rPr>
        <w:t xml:space="preserve">", </w:t>
      </w:r>
      <w:r>
        <w:rPr>
          <w:rtl w:val="true"/>
        </w:rPr>
        <w:t xml:space="preserve">ועם אמל אבו עבלה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אמל</w:t>
      </w:r>
      <w:r>
        <w:rPr>
          <w:rtl w:val="true"/>
        </w:rPr>
        <w:t xml:space="preserve">"). </w:t>
      </w:r>
      <w:r>
        <w:rPr>
          <w:rtl w:val="true"/>
        </w:rPr>
        <w:t xml:space="preserve">השלושה עשו דרכם ברכבו של אמל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אל מוצב צה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"</w:t>
      </w:r>
      <w:r>
        <w:rPr>
          <w:rtl w:val="true"/>
        </w:rPr>
        <w:t>שושן</w:t>
      </w:r>
      <w:r>
        <w:rPr>
          <w:rtl w:val="true"/>
        </w:rPr>
        <w:t xml:space="preserve">", </w:t>
      </w:r>
      <w:r>
        <w:rPr>
          <w:rtl w:val="true"/>
        </w:rPr>
        <w:t>הנמצא בסמוך לקיבוץ יפתח ובצמוד לגדר הגבול</w:t>
      </w:r>
      <w:r>
        <w:rPr>
          <w:rtl w:val="true"/>
        </w:rPr>
        <w:t xml:space="preserve">. 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סארי</w:t>
      </w:r>
      <w:r>
        <w:rPr>
          <w:rtl w:val="true"/>
        </w:rPr>
        <w:t xml:space="preserve">, </w:t>
      </w:r>
      <w:r>
        <w:rPr>
          <w:rtl w:val="true"/>
        </w:rPr>
        <w:t>ששירת במוצב</w:t>
      </w:r>
      <w:r>
        <w:rPr>
          <w:rtl w:val="true"/>
        </w:rPr>
        <w:t xml:space="preserve">, </w:t>
      </w:r>
      <w:r>
        <w:rPr>
          <w:rtl w:val="true"/>
        </w:rPr>
        <w:t>הכירו היטב לרבות את נהלי האבטחה הנהוגים בו</w:t>
      </w:r>
      <w:r>
        <w:rPr>
          <w:rtl w:val="true"/>
        </w:rPr>
        <w:t xml:space="preserve">, </w:t>
      </w:r>
      <w:r>
        <w:rPr>
          <w:rtl w:val="true"/>
        </w:rPr>
        <w:t xml:space="preserve">וכן היה מודע לקיומו של כלי נשק מסוג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המאג</w:t>
      </w:r>
      <w:r>
        <w:rPr>
          <w:rtl w:val="true"/>
        </w:rPr>
        <w:t xml:space="preserve">"), </w:t>
      </w:r>
      <w:r>
        <w:rPr>
          <w:rtl w:val="true"/>
        </w:rPr>
        <w:t xml:space="preserve">אשר היה מותקן דרך קבע על גבי רכב קרב משוריין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הנגמ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") </w:t>
      </w:r>
      <w:r>
        <w:rPr>
          <w:rtl w:val="true"/>
        </w:rPr>
        <w:t>שהוצב בכביש הגישה למוצב</w:t>
      </w:r>
      <w:r>
        <w:rPr>
          <w:rtl w:val="true"/>
        </w:rPr>
        <w:t xml:space="preserve">, </w:t>
      </w:r>
      <w:r>
        <w:rPr>
          <w:rtl w:val="true"/>
        </w:rPr>
        <w:t>בסמוך לעמדת הש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לאחר שהחלו בנסיעה</w:t>
      </w:r>
      <w:r>
        <w:rPr>
          <w:rtl w:val="true"/>
        </w:rPr>
        <w:t xml:space="preserve">, </w:t>
      </w:r>
      <w:r>
        <w:rPr>
          <w:rtl w:val="true"/>
        </w:rPr>
        <w:t xml:space="preserve">התקשר אמל אל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 xml:space="preserve">ד מרעי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"), </w:t>
      </w:r>
      <w:r>
        <w:rPr>
          <w:rtl w:val="true"/>
        </w:rPr>
        <w:t>וביקש ממנו להתלוות אל נסיעתם למוצב</w:t>
      </w:r>
      <w:r>
        <w:rPr>
          <w:rtl w:val="true"/>
        </w:rPr>
        <w:t xml:space="preserve">, </w:t>
      </w:r>
      <w:r>
        <w:rPr>
          <w:rtl w:val="true"/>
        </w:rPr>
        <w:t>כך שמג</w:t>
      </w:r>
      <w:r>
        <w:rPr>
          <w:rtl w:val="true"/>
        </w:rPr>
        <w:t>'</w:t>
      </w:r>
      <w:r>
        <w:rPr>
          <w:rtl w:val="true"/>
        </w:rPr>
        <w:t>ד יוביל אותם ברכבו אל המוצב</w:t>
      </w:r>
      <w:r>
        <w:rPr>
          <w:rtl w:val="true"/>
        </w:rPr>
        <w:t xml:space="preserve">.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 נעתר לבקשתו של אמל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 xml:space="preserve">בהגיע הארבעה </w:t>
      </w:r>
      <w:r>
        <w:rPr>
          <w:rtl w:val="true"/>
        </w:rPr>
        <w:t>(</w:t>
      </w:r>
      <w:r>
        <w:rPr>
          <w:rtl w:val="true"/>
        </w:rPr>
        <w:t>הנאשמים ואיתם סארי ואמל</w:t>
      </w:r>
      <w:r>
        <w:rPr>
          <w:rtl w:val="true"/>
        </w:rPr>
        <w:t xml:space="preserve">) </w:t>
      </w:r>
      <w:r>
        <w:rPr>
          <w:rtl w:val="true"/>
        </w:rPr>
        <w:t>אל המוצב</w:t>
      </w:r>
      <w:r>
        <w:rPr>
          <w:rtl w:val="true"/>
        </w:rPr>
        <w:t xml:space="preserve">, </w:t>
      </w:r>
      <w:r>
        <w:rPr>
          <w:rtl w:val="true"/>
        </w:rPr>
        <w:t>יצאו סארי ואמל מן הרכב</w:t>
      </w:r>
      <w:r>
        <w:rPr>
          <w:rtl w:val="true"/>
        </w:rPr>
        <w:t xml:space="preserve">, </w:t>
      </w:r>
      <w:r>
        <w:rPr>
          <w:rtl w:val="true"/>
        </w:rPr>
        <w:t>גנבו את המאג המותקן על</w:t>
      </w:r>
      <w:r>
        <w:rPr>
          <w:rtl w:val="true"/>
        </w:rPr>
        <w:t>-</w:t>
      </w:r>
      <w:r>
        <w:rPr>
          <w:rtl w:val="true"/>
        </w:rPr>
        <w:t>גבי הנגמ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והטמינו אותו בתא המטען של הרכב</w:t>
      </w:r>
      <w:r>
        <w:rPr>
          <w:rtl w:val="true"/>
        </w:rPr>
        <w:t xml:space="preserve">. </w:t>
      </w:r>
      <w:r>
        <w:rPr>
          <w:rtl w:val="true"/>
        </w:rPr>
        <w:t>לאחר מכן נסעו הארבעה מן המקום יחדיו</w:t>
      </w:r>
      <w:r>
        <w:rPr>
          <w:rtl w:val="true"/>
        </w:rPr>
        <w:t xml:space="preserve">, </w:t>
      </w:r>
      <w:r>
        <w:rPr>
          <w:rtl w:val="true"/>
        </w:rPr>
        <w:t>כשמג</w:t>
      </w:r>
      <w:r>
        <w:rPr>
          <w:rtl w:val="true"/>
        </w:rPr>
        <w:t>'</w:t>
      </w:r>
      <w:r>
        <w:rPr>
          <w:rtl w:val="true"/>
        </w:rPr>
        <w:t>ד נוסע ברכבו מלפנים</w:t>
      </w:r>
      <w:r>
        <w:rPr>
          <w:rtl w:val="true"/>
        </w:rPr>
        <w:t xml:space="preserve">, </w:t>
      </w:r>
      <w:r>
        <w:rPr>
          <w:rtl w:val="true"/>
        </w:rPr>
        <w:t>והשלושה האחרים נוסעים ברכבו של אמל בעקבותיו של 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עד הגיעם לחורפיש</w:t>
      </w:r>
      <w:r>
        <w:rPr>
          <w:rtl w:val="true"/>
        </w:rPr>
        <w:t xml:space="preserve">, </w:t>
      </w:r>
      <w:r>
        <w:rPr>
          <w:rtl w:val="true"/>
        </w:rPr>
        <w:t>שם מתגורר 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מחורפיש המשיכו אמל</w:t>
      </w:r>
      <w:r>
        <w:rPr>
          <w:rtl w:val="true"/>
        </w:rPr>
        <w:t xml:space="preserve">, </w:t>
      </w:r>
      <w:r>
        <w:rPr>
          <w:rtl w:val="true"/>
        </w:rPr>
        <w:t>סארי ועימאד בנסיעתם עד לביתו של אמל בכפר ירכא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Style14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לגבי עימאד</w:t>
      </w:r>
      <w:r>
        <w:rPr>
          <w:rtl w:val="true"/>
        </w:rPr>
        <w:t xml:space="preserve">, </w:t>
      </w:r>
      <w:r>
        <w:rPr>
          <w:rtl w:val="true"/>
        </w:rPr>
        <w:t>התסקיר מפרט כי ביצע את העבירה מספר חודשים לאחר שסיים את לימודיו בבית</w:t>
      </w:r>
      <w:r>
        <w:rPr>
          <w:rtl w:val="true"/>
        </w:rPr>
        <w:t>-</w:t>
      </w:r>
      <w:r>
        <w:rPr>
          <w:rtl w:val="true"/>
        </w:rPr>
        <w:t>הספר התיכון</w:t>
      </w:r>
      <w:r>
        <w:rPr>
          <w:rtl w:val="true"/>
        </w:rPr>
        <w:t xml:space="preserve">. </w:t>
      </w:r>
      <w:r>
        <w:rPr>
          <w:rtl w:val="true"/>
        </w:rPr>
        <w:t>עימאד הכחיש שהייתה לו כוונה פלילית בעת ביצוע המעשים</w:t>
      </w:r>
      <w:r>
        <w:rPr>
          <w:rtl w:val="true"/>
        </w:rPr>
        <w:t xml:space="preserve">, </w:t>
      </w:r>
      <w:r>
        <w:rPr>
          <w:rtl w:val="true"/>
        </w:rPr>
        <w:t>וציין שרק לאחר שחזרו מן המוצב הוא הבין כי מדובר בעבירה</w:t>
      </w:r>
      <w:r>
        <w:rPr>
          <w:rtl w:val="true"/>
        </w:rPr>
        <w:t xml:space="preserve">, </w:t>
      </w:r>
      <w:r>
        <w:rPr>
          <w:rtl w:val="true"/>
        </w:rPr>
        <w:t>ושסארי</w:t>
      </w:r>
      <w:r>
        <w:rPr>
          <w:rtl w:val="true"/>
        </w:rPr>
        <w:t xml:space="preserve">, </w:t>
      </w:r>
      <w:r>
        <w:rPr>
          <w:rtl w:val="true"/>
        </w:rPr>
        <w:t>חברו הטוב</w:t>
      </w:r>
      <w:r>
        <w:rPr>
          <w:rtl w:val="true"/>
        </w:rPr>
        <w:t xml:space="preserve">, </w:t>
      </w:r>
      <w:r>
        <w:rPr>
          <w:rtl w:val="true"/>
        </w:rPr>
        <w:t>ביקש ממנו להצטרף לנסיעה לרמת הגולן על מנת להביא דבר מה</w:t>
      </w:r>
      <w:r>
        <w:rPr>
          <w:rtl w:val="true"/>
        </w:rPr>
        <w:t xml:space="preserve">, </w:t>
      </w:r>
      <w:r>
        <w:rPr>
          <w:rtl w:val="true"/>
        </w:rPr>
        <w:t>מבלי לפרט</w:t>
      </w:r>
      <w:r>
        <w:rPr>
          <w:rtl w:val="true"/>
        </w:rPr>
        <w:t xml:space="preserve">. </w:t>
      </w:r>
      <w:r>
        <w:rPr>
          <w:rtl w:val="true"/>
        </w:rPr>
        <w:t>לדברי קצינת המבחן</w:t>
      </w:r>
      <w:r>
        <w:rPr>
          <w:rtl w:val="true"/>
        </w:rPr>
        <w:t xml:space="preserve">, </w:t>
      </w:r>
      <w:r>
        <w:rPr>
          <w:rtl w:val="true"/>
        </w:rPr>
        <w:t>ניכר כי עימאד נוטה לצמצם את חלקו בביצוע העבירה וחווה עצמו כקורבן למעשיהם של אמל וסארי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קצינת המבחן התרשמה כי מדובר בצעיר המצוי בשלב בו עסוק בגיבוש זהותו האישית</w:t>
      </w:r>
      <w:r>
        <w:rPr>
          <w:rtl w:val="true"/>
        </w:rPr>
        <w:t xml:space="preserve">, </w:t>
      </w:r>
      <w:r>
        <w:rPr>
          <w:rtl w:val="true"/>
        </w:rPr>
        <w:t>אשר נוטה להתנהלות חיובית ברוב מישורי חייו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נכתב כי עימאד מתקשה להתחבר לחלקים הבעייתיים  באישיותו</w:t>
      </w:r>
      <w:r>
        <w:rPr>
          <w:rtl w:val="true"/>
        </w:rPr>
        <w:t xml:space="preserve">, </w:t>
      </w:r>
      <w:r>
        <w:rPr>
          <w:rtl w:val="true"/>
        </w:rPr>
        <w:t>ונמנע מלבחון לעומק את עולמו הפנימי ואת העומד בבסיס התנהלותו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עימאד סירב להצעת קצינת המבחן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בנמקו כי אינו רואה בעייתיות באופן התנהלותו במכלול מישורי החיים</w:t>
      </w:r>
      <w:r>
        <w:rPr>
          <w:rtl w:val="true"/>
        </w:rPr>
        <w:t xml:space="preserve">. </w:t>
      </w:r>
      <w:r>
        <w:rPr>
          <w:rtl w:val="true"/>
        </w:rPr>
        <w:t>נוכח האמור נמנעה קצינת המבחן ממתן המלצה טיפולית לגבי עימאד</w:t>
      </w:r>
      <w:r>
        <w:rPr>
          <w:rtl w:val="true"/>
        </w:rPr>
        <w:t xml:space="preserve">, </w:t>
      </w:r>
      <w:r>
        <w:rPr>
          <w:rtl w:val="true"/>
        </w:rPr>
        <w:t>וסברה כי ענישה קונקרטית בדמות מאסר על דרך של עבודות שירות תוביל לאפקט ההרתעתי הנדרש</w:t>
      </w:r>
      <w:r>
        <w:rPr>
          <w:rtl w:val="true"/>
        </w:rPr>
        <w:t xml:space="preserve">. </w:t>
      </w:r>
      <w:r>
        <w:rPr>
          <w:rtl w:val="true"/>
        </w:rPr>
        <w:t>קצינת המבחן ציינה כי עונש של מאסר בפועל עלול להוביל את עימאד להיגרר אחר דמויות עברייניות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לאור גילו הצעיר ומאפייני אישיותו</w:t>
      </w:r>
      <w:r>
        <w:rPr>
          <w:rtl w:val="true"/>
        </w:rPr>
        <w:t xml:space="preserve">, </w:t>
      </w:r>
      <w:r>
        <w:rPr>
          <w:rtl w:val="true"/>
        </w:rPr>
        <w:t>המליצה להימנע משליחתו אל מאחורי סורג ובריח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באשר למג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הלה שלל בפני קצינת המבחן את הכוונה הפלילית במעשיו</w:t>
      </w:r>
      <w:r>
        <w:rPr>
          <w:rtl w:val="true"/>
        </w:rPr>
        <w:t xml:space="preserve">, </w:t>
      </w:r>
      <w:r>
        <w:rPr>
          <w:rtl w:val="true"/>
        </w:rPr>
        <w:t>והסביר כי התבקש על</w:t>
      </w:r>
      <w:r>
        <w:rPr>
          <w:rtl w:val="true"/>
        </w:rPr>
        <w:t>-</w:t>
      </w:r>
      <w:r>
        <w:rPr>
          <w:rtl w:val="true"/>
        </w:rPr>
        <w:t>ידי חבריו להקדימם בנסיעה על מנת לבדוק שאין בדרך גורמי ביטחון או גורמים אחרים העלולים להפריע</w:t>
      </w:r>
      <w:r>
        <w:rPr>
          <w:rtl w:val="true"/>
        </w:rPr>
        <w:t xml:space="preserve">. </w:t>
      </w:r>
      <w:r>
        <w:rPr>
          <w:rtl w:val="true"/>
        </w:rPr>
        <w:t>למג</w:t>
      </w:r>
      <w:r>
        <w:rPr>
          <w:rtl w:val="true"/>
        </w:rPr>
        <w:t>'</w:t>
      </w:r>
      <w:r>
        <w:rPr>
          <w:rtl w:val="true"/>
        </w:rPr>
        <w:t>ד לא היה הסבר לסתירה בין הדברים</w:t>
      </w:r>
      <w:r>
        <w:rPr>
          <w:rtl w:val="true"/>
        </w:rPr>
        <w:t xml:space="preserve">, </w:t>
      </w:r>
      <w:r>
        <w:rPr>
          <w:rtl w:val="true"/>
        </w:rPr>
        <w:t>כשאר הסברו חשף את המודעות לפן הפלילי שבמעשיהם של חבריו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קצינת המבחן התרשמה כי חרטתו של מג</w:t>
      </w:r>
      <w:r>
        <w:rPr>
          <w:rtl w:val="true"/>
        </w:rPr>
        <w:t>'</w:t>
      </w:r>
      <w:r>
        <w:rPr>
          <w:rtl w:val="true"/>
        </w:rPr>
        <w:t>ד נובעת מן המחיר אותו הוא נאלץ לשלם ולא מתוך הפנמה של הפסול הכרוך במעשיו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קצינת המבחן ציינה כי מג</w:t>
      </w:r>
      <w:r>
        <w:rPr>
          <w:rtl w:val="true"/>
        </w:rPr>
        <w:t>'</w:t>
      </w:r>
      <w:r>
        <w:rPr>
          <w:rtl w:val="true"/>
        </w:rPr>
        <w:t>ד לא הביע כל נזקקות טיפולית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ונוכח ההפחתה מחומרת מעשיו</w:t>
      </w:r>
      <w:r>
        <w:rPr>
          <w:rtl w:val="true"/>
        </w:rPr>
        <w:t xml:space="preserve">, </w:t>
      </w:r>
      <w:r>
        <w:rPr>
          <w:rtl w:val="true"/>
        </w:rPr>
        <w:t>העדרו של קונפליקט פנימי אל מול המעשים</w:t>
      </w:r>
      <w:r>
        <w:rPr>
          <w:rtl w:val="true"/>
        </w:rPr>
        <w:t xml:space="preserve">, </w:t>
      </w:r>
      <w:r>
        <w:rPr>
          <w:rtl w:val="true"/>
        </w:rPr>
        <w:t>הכחשת הכוונה הפלילית והפער בין תפקודו החיובי במישורי חיים שונים לבין חומרת העבירה</w:t>
      </w:r>
      <w:r>
        <w:rPr>
          <w:rtl w:val="true"/>
        </w:rPr>
        <w:t xml:space="preserve">, </w:t>
      </w:r>
      <w:r>
        <w:rPr>
          <w:rtl w:val="true"/>
        </w:rPr>
        <w:t>הגיעה למסקנה כי אין בידה לשלול את הסיכון להישנות ההתנהגות העבריינית בעתיד</w:t>
      </w:r>
      <w:r>
        <w:rPr>
          <w:rtl w:val="true"/>
        </w:rPr>
        <w:t xml:space="preserve">. </w:t>
      </w:r>
      <w:r>
        <w:rPr>
          <w:rtl w:val="true"/>
        </w:rPr>
        <w:t>קצינת המבחן המליצה להטיל על מג</w:t>
      </w:r>
      <w:r>
        <w:rPr>
          <w:rtl w:val="true"/>
        </w:rPr>
        <w:t>'</w:t>
      </w:r>
      <w:r>
        <w:rPr>
          <w:rtl w:val="true"/>
        </w:rPr>
        <w:t>ד עונש של מאסר בפועל</w:t>
      </w:r>
      <w:r>
        <w:rPr>
          <w:rtl w:val="true"/>
        </w:rPr>
        <w:t xml:space="preserve">, </w:t>
      </w:r>
      <w:r>
        <w:rPr>
          <w:rtl w:val="true"/>
        </w:rPr>
        <w:t>בנימוק כי יהיה בכך כדי להמחיש למג</w:t>
      </w:r>
      <w:r>
        <w:rPr>
          <w:rtl w:val="true"/>
        </w:rPr>
        <w:t>'</w:t>
      </w:r>
      <w:r>
        <w:rPr>
          <w:rtl w:val="true"/>
        </w:rPr>
        <w:t>ד את חומרת המעשים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Style14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המאשימה ציינה בטיעוניה את החומרה הכרוכה בעבירות נשק</w:t>
      </w:r>
      <w:r>
        <w:rPr>
          <w:rtl w:val="true"/>
        </w:rPr>
        <w:t xml:space="preserve">, </w:t>
      </w:r>
      <w:r>
        <w:rPr>
          <w:rtl w:val="true"/>
        </w:rPr>
        <w:t>וזאת בשל הסכנה הפוטנציאלית הטמונה בכל 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במקרה דנן רואה היא חומרה יתירה</w:t>
      </w:r>
      <w:r>
        <w:rPr>
          <w:rtl w:val="true"/>
        </w:rPr>
        <w:t xml:space="preserve">, </w:t>
      </w:r>
      <w:r>
        <w:rPr>
          <w:rtl w:val="true"/>
        </w:rPr>
        <w:t>וזאת מאחר ומדובר בגניבה ממתקן צבאי הממוקם על גדר הגבול ונמצא במצב של כוננות מתמדת</w:t>
      </w:r>
      <w:r>
        <w:rPr>
          <w:rtl w:val="true"/>
        </w:rPr>
        <w:t xml:space="preserve">. </w:t>
      </w:r>
      <w:r>
        <w:rPr>
          <w:rtl w:val="true"/>
        </w:rPr>
        <w:t xml:space="preserve">עוד הצביעה על כך שהנשק שנגנב הינו רובה מסוג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 xml:space="preserve">", </w:t>
      </w:r>
      <w:r>
        <w:rPr>
          <w:rtl w:val="true"/>
        </w:rPr>
        <w:t>שהוא נשק אוטומטי והתקפי רב עוצמה העלול לגרום לנזקים חמורים ביותר</w:t>
      </w:r>
      <w:r>
        <w:rPr>
          <w:rtl w:val="true"/>
        </w:rPr>
        <w:t xml:space="preserve">, </w:t>
      </w:r>
      <w:r>
        <w:rPr>
          <w:rtl w:val="true"/>
        </w:rPr>
        <w:t>למות רבים ולפגיעה בחפים מפשע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עוד עומדת המאשימה על כך שאין נפקות לשאלת המניע 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דהיינו </w:t>
      </w:r>
      <w:r>
        <w:rPr>
          <w:rtl w:val="true"/>
        </w:rPr>
        <w:t xml:space="preserve">- </w:t>
      </w:r>
      <w:r>
        <w:rPr>
          <w:rtl w:val="true"/>
        </w:rPr>
        <w:t>האם העבירה בוצע ממניע כלכלי או אידיאולוגי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המאשימה סבורה כי יש להטיל על שני הנאשמים עונש של מאסר בפועל</w:t>
      </w:r>
      <w:r>
        <w:rPr>
          <w:rtl w:val="true"/>
        </w:rPr>
        <w:t xml:space="preserve">, </w:t>
      </w:r>
      <w:r>
        <w:rPr>
          <w:rtl w:val="true"/>
        </w:rPr>
        <w:t>וכן מאסר על תנאי וקנס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סנגורו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 כי מרשו לא נטל חלק בגניבתו הפיזית של המאג</w:t>
      </w:r>
      <w:r>
        <w:rPr>
          <w:rtl w:val="true"/>
        </w:rPr>
        <w:t xml:space="preserve">, </w:t>
      </w:r>
      <w:r>
        <w:rPr>
          <w:rtl w:val="true"/>
        </w:rPr>
        <w:t>לא נטל חלק בתכנון מעשה הגניבה ולא היה מודע לכך שחבריו מבקשים לגנוב את כלי הנשק</w:t>
      </w:r>
      <w:r>
        <w:rPr>
          <w:rtl w:val="true"/>
        </w:rPr>
        <w:t xml:space="preserve">. </w:t>
      </w:r>
      <w:r>
        <w:rPr>
          <w:rtl w:val="true"/>
        </w:rPr>
        <w:t>משעה שנפרדה דרכם של המעורבים</w:t>
      </w:r>
      <w:r>
        <w:rPr>
          <w:rtl w:val="true"/>
        </w:rPr>
        <w:t xml:space="preserve">, </w:t>
      </w:r>
      <w:r>
        <w:rPr>
          <w:rtl w:val="true"/>
        </w:rPr>
        <w:t xml:space="preserve">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הייתה גישה למאג</w:t>
      </w:r>
      <w:r>
        <w:rPr>
          <w:rtl w:val="true"/>
        </w:rPr>
        <w:t xml:space="preserve">, </w:t>
      </w:r>
      <w:r>
        <w:rPr>
          <w:rtl w:val="true"/>
        </w:rPr>
        <w:t>ומכאן שיש לראות במעשיו ככאלה הנמצאים ברף הנמוך של עבירות הנשק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ביחס להמלצות שירות המבחן</w:t>
      </w:r>
      <w:r>
        <w:rPr>
          <w:rtl w:val="true"/>
        </w:rPr>
        <w:t xml:space="preserve">, </w:t>
      </w:r>
      <w:r>
        <w:rPr>
          <w:rtl w:val="true"/>
        </w:rPr>
        <w:t>טוען הסניגור כי מדובר ב</w:t>
      </w:r>
      <w:r>
        <w:rPr>
          <w:rtl w:val="true"/>
        </w:rPr>
        <w:t>"</w:t>
      </w:r>
      <w:r>
        <w:rPr>
          <w:rtl w:val="true"/>
        </w:rPr>
        <w:t>אי הבנה משפטית</w:t>
      </w:r>
      <w:r>
        <w:rPr>
          <w:rtl w:val="true"/>
        </w:rPr>
        <w:t xml:space="preserve">" </w:t>
      </w:r>
      <w:r>
        <w:rPr>
          <w:rtl w:val="true"/>
        </w:rPr>
        <w:t>של קצינת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וזאת לאור התייחסותה השלילית לדבריו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לפיהם הוא לא ידע על מטרת הנסיעה</w:t>
      </w:r>
      <w:r>
        <w:rPr>
          <w:rtl w:val="true"/>
        </w:rPr>
        <w:t xml:space="preserve">. </w:t>
      </w:r>
      <w:r>
        <w:rPr>
          <w:rtl w:val="true"/>
        </w:rPr>
        <w:t>הסנגור מצביעה על כך שמודעות זו אינה נזכרת בעובדות כתב האישום</w:t>
      </w:r>
      <w:r>
        <w:rPr>
          <w:rtl w:val="true"/>
        </w:rPr>
        <w:t xml:space="preserve">, </w:t>
      </w:r>
      <w:r>
        <w:rPr>
          <w:rtl w:val="true"/>
        </w:rPr>
        <w:t>ושעקב העדרו של רכיב זה הורשע הנאשם בנשיאתו של כלי הנשק ולא בגניבתו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 xml:space="preserve">באשר לנסיבותיו האישיות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ציין הסנגור כי מדובר באדם נורמטיבי שתפקודו בחברה הוא חיובי</w:t>
      </w:r>
      <w:r>
        <w:rPr>
          <w:rtl w:val="true"/>
        </w:rPr>
        <w:t xml:space="preserve">. </w:t>
      </w:r>
      <w:r>
        <w:rPr>
          <w:rtl w:val="true"/>
        </w:rPr>
        <w:t xml:space="preserve">עוד ביקש להתחשב בהודאתו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בעובדות כתב האישום</w:t>
      </w:r>
      <w:r>
        <w:rPr>
          <w:rtl w:val="true"/>
        </w:rPr>
        <w:t xml:space="preserve">, </w:t>
      </w:r>
      <w:r>
        <w:rPr>
          <w:rtl w:val="true"/>
        </w:rPr>
        <w:t>בחרטתו</w:t>
      </w:r>
      <w:r>
        <w:rPr>
          <w:rtl w:val="true"/>
        </w:rPr>
        <w:t xml:space="preserve">, </w:t>
      </w:r>
      <w:r>
        <w:rPr>
          <w:rtl w:val="true"/>
        </w:rPr>
        <w:t>בגילו הצעיר ובכך שמדובר בהרשעתו הראשונה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מבקש הסנגור להימנע משליחתו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 מאחורי סורג ובריח</w:t>
      </w:r>
      <w:r>
        <w:rPr>
          <w:rtl w:val="true"/>
        </w:rPr>
        <w:t xml:space="preserve">, </w:t>
      </w:r>
      <w:r>
        <w:rPr>
          <w:rtl w:val="true"/>
        </w:rPr>
        <w:t>אלא להסתפק בעונש אותו יישא בדרך של עבודות שירות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סנגורו שם את הדגש על כך כי הוא לא היה מודע למטרת הנסיעה</w:t>
      </w:r>
      <w:r>
        <w:rPr>
          <w:rtl w:val="true"/>
        </w:rPr>
        <w:t xml:space="preserve">, </w:t>
      </w:r>
      <w:r>
        <w:rPr>
          <w:rtl w:val="true"/>
        </w:rPr>
        <w:t>אליה הצטרף לבקשתם של אמל וסארי בזמן שכולם בילו יחדיו במסיבת חתונה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מילא כל תפקיד באירוע</w:t>
      </w:r>
      <w:r>
        <w:rPr>
          <w:rtl w:val="true"/>
        </w:rPr>
        <w:t xml:space="preserve">, </w:t>
      </w:r>
      <w:r>
        <w:rPr>
          <w:rtl w:val="true"/>
        </w:rPr>
        <w:t>פרט להימצאותו ברכבו של אמל</w:t>
      </w:r>
      <w:r>
        <w:rPr>
          <w:rtl w:val="true"/>
        </w:rPr>
        <w:t xml:space="preserve">, </w:t>
      </w:r>
      <w:r>
        <w:rPr>
          <w:rtl w:val="true"/>
        </w:rPr>
        <w:t>לא לקח חלק בביצוע הגניבה ולא נהג ברכב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 xml:space="preserve">עוד פירט הסנגור 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צפוי היה להתגייס ליחידה מובחרת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גיוס שבוטל עקב הסתבכותו בפרשה זו וסירובו של שירות המבחן להמליץ במקרה דנן על הימנעות מהרשעה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ביחס לנסיבות ביצוע העבירה ציין הסנגור כי במסגרת עבירת הנשיאה קיים מנעד רחב מאוד של דרגות חומרה</w:t>
      </w:r>
      <w:r>
        <w:rPr>
          <w:rtl w:val="true"/>
        </w:rPr>
        <w:t xml:space="preserve">, </w:t>
      </w:r>
      <w:r>
        <w:rPr>
          <w:rtl w:val="true"/>
        </w:rPr>
        <w:t>ושיש להבחין בין מי שנושא נשק לשם פגיעה באחר לבין מקרה של נשיאה על דרך של נסיעה ברכב בלבד</w:t>
      </w:r>
      <w:r>
        <w:rPr>
          <w:rtl w:val="true"/>
        </w:rPr>
        <w:t xml:space="preserve">. 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בסוף דבריו ביקש הסנגור 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ולהימנע משליחתו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למאסר מאחורי סורג ובריח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שני הנאשמים הביעו בבית המשפט צער וחרטה על מעשיהם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Style14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אין בידי לקבל את הטענה לפיה העבירה אותה ביצעו הנאשמים מצויה ברף הנמוך של עבירות הנשק</w:t>
      </w:r>
      <w:r>
        <w:rPr>
          <w:rtl w:val="true"/>
        </w:rPr>
        <w:t xml:space="preserve">, </w:t>
      </w:r>
      <w:r>
        <w:rPr>
          <w:rtl w:val="true"/>
        </w:rPr>
        <w:t>וזאת לאור 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הנאשמים השתתפו</w:t>
      </w:r>
      <w:r>
        <w:rPr>
          <w:rtl w:val="true"/>
        </w:rPr>
        <w:t xml:space="preserve">, </w:t>
      </w:r>
      <w:r>
        <w:rPr>
          <w:rtl w:val="true"/>
        </w:rPr>
        <w:t>האחד באופן פעיל והשני על דרך המחדל</w:t>
      </w:r>
      <w:r>
        <w:rPr>
          <w:rtl w:val="true"/>
        </w:rPr>
        <w:t xml:space="preserve">, </w:t>
      </w:r>
      <w:r>
        <w:rPr>
          <w:rtl w:val="true"/>
        </w:rPr>
        <w:t>בעבירה של נשיאת נשק שלא כדין</w:t>
      </w:r>
      <w:r>
        <w:rPr>
          <w:rtl w:val="true"/>
        </w:rPr>
        <w:t xml:space="preserve">. </w:t>
      </w:r>
      <w:r>
        <w:rPr>
          <w:rtl w:val="true"/>
        </w:rPr>
        <w:t>מקור הנשק בעבירה אותה ביצעו חבריהם של השניים</w:t>
      </w:r>
      <w:r>
        <w:rPr>
          <w:rtl w:val="true"/>
        </w:rPr>
        <w:t xml:space="preserve">, </w:t>
      </w:r>
      <w:r>
        <w:rPr>
          <w:rtl w:val="true"/>
        </w:rPr>
        <w:t>אמל וסארי</w:t>
      </w:r>
      <w:r>
        <w:rPr>
          <w:rtl w:val="true"/>
        </w:rPr>
        <w:t xml:space="preserve">, </w:t>
      </w:r>
      <w:r>
        <w:rPr>
          <w:rtl w:val="true"/>
        </w:rPr>
        <w:t>בגנבם את הנשק</w:t>
      </w:r>
      <w:r>
        <w:rPr>
          <w:rtl w:val="true"/>
        </w:rPr>
        <w:t xml:space="preserve">, </w:t>
      </w:r>
      <w:r>
        <w:rPr>
          <w:rtl w:val="true"/>
        </w:rPr>
        <w:t>מסוג מאג</w:t>
      </w:r>
      <w:r>
        <w:rPr>
          <w:rtl w:val="true"/>
        </w:rPr>
        <w:t xml:space="preserve">, </w:t>
      </w:r>
      <w:r>
        <w:rPr>
          <w:rtl w:val="true"/>
        </w:rPr>
        <w:t>מבסיס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האם הנאשמים בתיק זה היו מודעים לאירוע הגניבה</w:t>
      </w:r>
      <w:r>
        <w:rPr>
          <w:rtl w:val="true"/>
        </w:rPr>
        <w:t xml:space="preserve">? </w:t>
      </w:r>
      <w:r>
        <w:rPr>
          <w:rtl w:val="true"/>
        </w:rPr>
        <w:t>הדבר לא פורש בכתב האישום והנאשמים מכחישים מודעותם לנסיבה זו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הנאשמים לא הכחישו מודעותם לנשיאת המאג ברכבו של אמל</w:t>
      </w:r>
      <w:r>
        <w:rPr>
          <w:rtl w:val="true"/>
        </w:rPr>
        <w:t xml:space="preserve">. </w:t>
      </w:r>
      <w:r>
        <w:rPr>
          <w:rtl w:val="true"/>
        </w:rPr>
        <w:t>איש מהם לא טען כי ניסה לברר כיצד הגיע המאג לידיו של אמל</w:t>
      </w:r>
      <w:r>
        <w:rPr>
          <w:rtl w:val="true"/>
        </w:rPr>
        <w:t xml:space="preserve">, </w:t>
      </w:r>
      <w:r>
        <w:rPr>
          <w:rtl w:val="true"/>
        </w:rPr>
        <w:t>השניים לא דיווחו על הימצאו של המאג ברכב גם לאחר ששבו לבתיהם ונפרדו מאמל וסארי</w:t>
      </w:r>
      <w:r>
        <w:rPr>
          <w:rtl w:val="true"/>
        </w:rPr>
        <w:t xml:space="preserve">, </w:t>
      </w:r>
      <w:r>
        <w:rPr>
          <w:rtl w:val="true"/>
        </w:rPr>
        <w:t>ואף לא מחו בפני חבריהם על כך שבחרו לערב אותם בנשיאתו של כלי הנשק</w:t>
      </w:r>
      <w:r>
        <w:rPr>
          <w:rtl w:val="true"/>
        </w:rPr>
        <w:t>.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 xml:space="preserve">אין בדבריי אלה לפסול את טענתו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לפיהם הצטרף לנסיעה מבלי לדעת את מטרתה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הציפייה החברתית המינימלית מאדם שומר חוק</w:t>
      </w:r>
      <w:r>
        <w:rPr>
          <w:rtl w:val="true"/>
        </w:rPr>
        <w:t xml:space="preserve">, </w:t>
      </w:r>
      <w:r>
        <w:rPr>
          <w:rtl w:val="true"/>
        </w:rPr>
        <w:t>היא כי ידיר רגליו ממקום בו מבוצעת עבירה ולא יבחר ליטול חלק בנשיאתו של כלי משחית מסוג זה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טרח לברר את יעד הנסיעה ומטרתה</w:t>
      </w:r>
      <w:r>
        <w:rPr>
          <w:rtl w:val="true"/>
        </w:rPr>
        <w:t xml:space="preserve">, </w:t>
      </w:r>
      <w:r>
        <w:rPr>
          <w:rtl w:val="true"/>
        </w:rPr>
        <w:t>וגם לאחר שחבריו העמיסו את המאג על רכבו של אמל</w:t>
      </w:r>
      <w:r>
        <w:rPr>
          <w:rtl w:val="true"/>
        </w:rPr>
        <w:t xml:space="preserve">, </w:t>
      </w:r>
      <w:r>
        <w:rPr>
          <w:rtl w:val="true"/>
        </w:rPr>
        <w:t>הוא לא ביקש להרחיק עצמו מחבריו או לדווח על המעשים לגורמי האכיפה</w:t>
      </w:r>
      <w:r>
        <w:rPr>
          <w:rtl w:val="true"/>
        </w:rPr>
        <w:t>.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 xml:space="preserve">ביחס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ולטענה אותה העלה סנגורו בהתייחסו לתסקיר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יש לציין כי קצינת המבחן הסתמכה על הדברים שנמסרו לה מפיו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ולפיהם הוא </w:t>
      </w:r>
      <w:r>
        <w:rPr>
          <w:rtl w:val="true"/>
        </w:rPr>
        <w:t>"</w:t>
      </w:r>
      <w:r>
        <w:rPr>
          <w:rtl w:val="true"/>
        </w:rPr>
        <w:t>נתבקש על ידי חבריו להקדימם בנסיעה על מנת לבדוק שאין בדרך למוצב גורמי ביטחון</w:t>
      </w:r>
      <w:r>
        <w:rPr>
          <w:rtl w:val="true"/>
        </w:rPr>
        <w:t xml:space="preserve">". </w:t>
      </w:r>
      <w:r>
        <w:rPr>
          <w:rtl w:val="true"/>
        </w:rPr>
        <w:t>דברים אלה לא מצאו ביטוי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אולם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הכחיש כי אכן אמר את הדברים</w:t>
      </w:r>
      <w:r>
        <w:rPr>
          <w:rtl w:val="true"/>
        </w:rPr>
        <w:t xml:space="preserve">, </w:t>
      </w:r>
      <w:r>
        <w:rPr>
          <w:rtl w:val="true"/>
        </w:rPr>
        <w:t>ואף לא ביקש לסתור את האמור בתסקיר</w:t>
      </w:r>
      <w:r>
        <w:rPr>
          <w:rtl w:val="true"/>
        </w:rPr>
        <w:t xml:space="preserve">. </w:t>
      </w:r>
      <w:r>
        <w:rPr>
          <w:rtl w:val="true"/>
        </w:rPr>
        <w:t xml:space="preserve">מכאן שבצדק קבעה קצינת המבחן כי קיים פער בלתי מוסבר בין ידיעתו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 הדרישה ממנו לוודא אי הימצאותם של גורמי ביטחון</w:t>
      </w:r>
      <w:r>
        <w:rPr>
          <w:rtl w:val="true"/>
        </w:rPr>
        <w:t xml:space="preserve">, </w:t>
      </w:r>
      <w:r>
        <w:rPr>
          <w:rtl w:val="true"/>
        </w:rPr>
        <w:t>לבין טענתו כי לא היה מודע לכך שמדובר בביצוע עבירה פלילית</w:t>
      </w:r>
      <w:r>
        <w:rPr>
          <w:rtl w:val="true"/>
        </w:rPr>
        <w:t xml:space="preserve">. </w:t>
      </w:r>
      <w:r>
        <w:rPr>
          <w:rtl w:val="true"/>
        </w:rPr>
        <w:t xml:space="preserve">בדבריה אלה לא נקטה קצינת המבחן עמדה ביחס לשאלה האם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מודע לגניבת המאג</w:t>
      </w:r>
      <w:r>
        <w:rPr>
          <w:rtl w:val="true"/>
        </w:rPr>
        <w:t xml:space="preserve">, </w:t>
      </w:r>
      <w:r>
        <w:rPr>
          <w:rtl w:val="true"/>
        </w:rPr>
        <w:t xml:space="preserve">אלא לשאלה האם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מודע לכך שהובלת החבורה כשברשותם המאג מהווה עבירה פלילית</w:t>
      </w:r>
      <w:r>
        <w:rPr>
          <w:rtl w:val="true"/>
        </w:rPr>
        <w:t xml:space="preserve">. </w:t>
      </w:r>
      <w:r>
        <w:rPr>
          <w:rtl w:val="true"/>
        </w:rPr>
        <w:t xml:space="preserve">נקיטתה של קצינת המבחן בלשון </w:t>
      </w:r>
      <w:r>
        <w:rPr>
          <w:rtl w:val="true"/>
        </w:rPr>
        <w:t>"</w:t>
      </w:r>
      <w:r>
        <w:rPr>
          <w:rtl w:val="true"/>
        </w:rPr>
        <w:t>כוונה פלילית</w:t>
      </w:r>
      <w:r>
        <w:rPr>
          <w:rtl w:val="true"/>
        </w:rPr>
        <w:t xml:space="preserve">" </w:t>
      </w:r>
      <w:r>
        <w:rPr>
          <w:rtl w:val="true"/>
        </w:rPr>
        <w:t xml:space="preserve">תחת </w:t>
      </w:r>
      <w:r>
        <w:rPr>
          <w:rtl w:val="true"/>
        </w:rPr>
        <w:t>"</w:t>
      </w:r>
      <w:r>
        <w:rPr>
          <w:rtl w:val="true"/>
        </w:rPr>
        <w:t>מחשבה פלילית</w:t>
      </w:r>
      <w:r>
        <w:rPr>
          <w:rtl w:val="true"/>
        </w:rPr>
        <w:t xml:space="preserve">", </w:t>
      </w:r>
      <w:r>
        <w:rPr>
          <w:rtl w:val="true"/>
        </w:rPr>
        <w:t>אין בה לפסול את מסקנותיה</w:t>
      </w:r>
      <w:r>
        <w:rPr>
          <w:rtl w:val="true"/>
        </w:rPr>
        <w:t xml:space="preserve">, </w:t>
      </w:r>
      <w:r>
        <w:rPr>
          <w:rtl w:val="true"/>
        </w:rPr>
        <w:t>ויש להתייחס למהות הדברים ובמנותק מן המשמעות המשפטית המבחינה בין שני הביטויים</w:t>
      </w:r>
      <w:r>
        <w:rPr>
          <w:rtl w:val="true"/>
        </w:rPr>
        <w:t xml:space="preserve">. </w:t>
      </w:r>
      <w:r>
        <w:rPr>
          <w:rtl w:val="true"/>
        </w:rPr>
        <w:t xml:space="preserve">מתוכן הדברים ניתן להבין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הכחיש בפני קצינת המבחן את מודעותו לפן הפלילי של המעשים ולא את המטרה הפלילית</w:t>
      </w:r>
      <w:r>
        <w:rPr>
          <w:rtl w:val="true"/>
        </w:rPr>
        <w:t xml:space="preserve">, </w:t>
      </w:r>
      <w:r>
        <w:rPr>
          <w:rtl w:val="true"/>
        </w:rPr>
        <w:t>אשר אינה מהווה יסוד מיסודותיה של העבירה בה הוא הורשע</w:t>
      </w:r>
      <w:r>
        <w:rPr>
          <w:rtl w:val="true"/>
        </w:rPr>
        <w:t>.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נסיבות ביצוע העבירה לגבי כל אחד מן הנאשמים אינן זהות</w:t>
      </w:r>
      <w:r>
        <w:rPr>
          <w:rtl w:val="true"/>
        </w:rPr>
        <w:t xml:space="preserve">, </w:t>
      </w:r>
      <w:r>
        <w:rPr>
          <w:rtl w:val="true"/>
        </w:rPr>
        <w:t xml:space="preserve">ולטעמי חלקו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הוא פחות בהשוואה לחלקו של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הרשעתו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מבוססת על הימצאו ברכבם של אמל וסארי</w:t>
      </w:r>
      <w:r>
        <w:rPr>
          <w:rtl w:val="true"/>
        </w:rPr>
        <w:t xml:space="preserve">, </w:t>
      </w:r>
      <w:r>
        <w:rPr>
          <w:rtl w:val="true"/>
        </w:rPr>
        <w:t>אליהם הצטרף לאחר בילוי משותף מבלי לדעת את מטרת הנסיעה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הצטרף אל הנסיעה לבקשתו של אמל</w:t>
      </w:r>
      <w:r>
        <w:rPr>
          <w:rtl w:val="true"/>
        </w:rPr>
        <w:t xml:space="preserve">, </w:t>
      </w:r>
      <w:r>
        <w:rPr>
          <w:rtl w:val="true"/>
        </w:rPr>
        <w:t>וזאת בשעת לילה וכשיעד הנסיעה הובהר לו טרם לכן</w:t>
      </w:r>
      <w:r>
        <w:rPr>
          <w:rtl w:val="true"/>
        </w:rPr>
        <w:t xml:space="preserve">. </w:t>
      </w:r>
      <w:r>
        <w:rPr>
          <w:rtl w:val="true"/>
        </w:rPr>
        <w:t xml:space="preserve">צירוף הנסיבות צריך היה לעורר את חשדו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באשר למטרת הנסיעה</w:t>
      </w:r>
      <w:r>
        <w:rPr>
          <w:rtl w:val="true"/>
        </w:rPr>
        <w:t xml:space="preserve">, </w:t>
      </w:r>
      <w:r>
        <w:rPr>
          <w:rtl w:val="true"/>
        </w:rPr>
        <w:t xml:space="preserve">וזאת אף מבלי להתייחס לדבריו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עצמו בפני קצינת המבחן</w:t>
      </w:r>
      <w:r>
        <w:rPr>
          <w:rtl w:val="true"/>
        </w:rPr>
        <w:t xml:space="preserve">, </w:t>
      </w:r>
      <w:r>
        <w:rPr>
          <w:rtl w:val="true"/>
        </w:rPr>
        <w:t>לפיהם התבקש לוודא אי הימצאותם של גורמי ביטחון בדרך</w:t>
      </w:r>
      <w:r>
        <w:rPr>
          <w:rtl w:val="true"/>
        </w:rPr>
        <w:t xml:space="preserve">. </w:t>
      </w:r>
      <w:r>
        <w:rPr>
          <w:rtl w:val="true"/>
        </w:rPr>
        <w:t xml:space="preserve">מכאן שיכולתו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להימנע מביצוע העבירה ומידת השליטה שלו על מעשהו</w:t>
      </w:r>
      <w:r>
        <w:rPr>
          <w:rtl w:val="true"/>
        </w:rPr>
        <w:t xml:space="preserve">, </w:t>
      </w:r>
      <w:r>
        <w:rPr>
          <w:rtl w:val="true"/>
        </w:rPr>
        <w:t xml:space="preserve">היו טובות יותר בהשוואה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 היה תלוי באמל ובסארי בכדי לשוב לביתו</w:t>
      </w:r>
      <w:r>
        <w:rPr>
          <w:rtl w:val="true"/>
        </w:rPr>
        <w:t>.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לאחר שהובהרו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ניתן לקבוע כי המעשים אינם ברף הנמוך של עבירות הנשק</w:t>
      </w:r>
      <w:r>
        <w:rPr>
          <w:rtl w:val="true"/>
        </w:rPr>
        <w:t xml:space="preserve">, </w:t>
      </w:r>
      <w:r>
        <w:rPr>
          <w:rtl w:val="true"/>
        </w:rPr>
        <w:t>כפי שנטען</w:t>
      </w:r>
      <w:r>
        <w:rPr>
          <w:rtl w:val="true"/>
        </w:rPr>
        <w:t xml:space="preserve">. </w:t>
      </w:r>
      <w:r>
        <w:rPr>
          <w:rtl w:val="true"/>
        </w:rPr>
        <w:t>במעשיהם ובמחדלם אפשרו הנאשמים את הימצאותו של המאג בידיו של מי אשר אינו רשאי ומוסמך להחזיקו על</w:t>
      </w:r>
      <w:r>
        <w:rPr>
          <w:rtl w:val="true"/>
        </w:rPr>
        <w:t>-</w:t>
      </w:r>
      <w:r>
        <w:rPr>
          <w:rtl w:val="true"/>
        </w:rPr>
        <w:t>פי דין</w:t>
      </w:r>
      <w:r>
        <w:rPr>
          <w:rtl w:val="true"/>
        </w:rPr>
        <w:t xml:space="preserve">, </w:t>
      </w:r>
      <w:r>
        <w:rPr>
          <w:rtl w:val="true"/>
        </w:rPr>
        <w:t>ובכך יצרו סיכון לחייהם ולגופם של אחרים</w:t>
      </w:r>
      <w:r>
        <w:rPr>
          <w:rtl w:val="true"/>
        </w:rPr>
        <w:t xml:space="preserve">. </w:t>
      </w:r>
      <w:r>
        <w:rPr>
          <w:rtl w:val="true"/>
        </w:rPr>
        <w:t>מילים רבות נאמרו על הסכנה הכרוכה בעבירות הנשק</w:t>
      </w:r>
      <w:r>
        <w:rPr>
          <w:rtl w:val="true"/>
        </w:rPr>
        <w:t xml:space="preserve">, </w:t>
      </w:r>
      <w:r>
        <w:rPr>
          <w:rtl w:val="true"/>
        </w:rPr>
        <w:t>ועל הצורך להחמיר בענישתם של עברייני נשק</w:t>
      </w:r>
      <w:r>
        <w:rPr>
          <w:rtl w:val="true"/>
        </w:rPr>
        <w:t xml:space="preserve">, </w:t>
      </w:r>
      <w:r>
        <w:rPr>
          <w:rtl w:val="true"/>
        </w:rPr>
        <w:t>בהינתן הסיכון הגלום בעצם החזקתו</w:t>
      </w:r>
      <w:r>
        <w:rPr>
          <w:rtl w:val="true"/>
        </w:rPr>
        <w:t xml:space="preserve">, </w:t>
      </w:r>
      <w:r>
        <w:rPr>
          <w:rtl w:val="true"/>
        </w:rPr>
        <w:t>כדבריו של כבוד השופט ע</w:t>
      </w:r>
      <w:r>
        <w:rPr>
          <w:rtl w:val="true"/>
        </w:rPr>
        <w:t xml:space="preserve">' </w:t>
      </w:r>
      <w:r>
        <w:rPr>
          <w:rtl w:val="true"/>
        </w:rPr>
        <w:t>פוגלמן 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 חרבוש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09.06.10</w:t>
      </w:r>
      <w:r>
        <w:rPr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חומרתה של עבירת החזקת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מקורה בכך שעבירה זאת אינה נעשית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לרוב אלא כדי לאפשר ביצוען של עבירות 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שמעצם טבעו של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 באלימות או בהפחדה</w:t>
      </w:r>
      <w:r>
        <w:rPr>
          <w:b/>
          <w:bCs/>
          <w:rtl w:val="true"/>
        </w:rPr>
        <w:t>. ...</w:t>
      </w:r>
      <w:r>
        <w:rPr>
          <w:b/>
          <w:b/>
          <w:bCs/>
          <w:rtl w:val="true"/>
        </w:rPr>
        <w:t xml:space="preserve">המציאות השוררת בארץ המתבטאת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בזמינותו של נשק חם ורב עוצמה שיש עמו פוטנציאל להסלמת האלימות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מחייבת מתן ביטוי עונשי הולם והחמרה ברמת הענישה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ראו </w:t>
      </w:r>
      <w:hyperlink r:id="rId1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ab/>
        </w:r>
        <w:r>
          <w:rPr>
            <w:rStyle w:val="Hyperlink"/>
            <w:b/>
            <w:bCs/>
          </w:rPr>
          <w:t>1332/04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 xml:space="preserve">מדינת </w:t>
        </w:r>
        <w:r>
          <w:rPr>
            <w:rStyle w:val="Hyperlink"/>
            <w:b/>
            <w:bCs/>
            <w:rtl w:val="true"/>
          </w:rPr>
          <w:tab/>
        </w:r>
        <w:r>
          <w:rPr>
            <w:rStyle w:val="Hyperlink"/>
            <w:b/>
            <w:b/>
            <w:bCs/>
            <w:rtl w:val="true"/>
          </w:rPr>
          <w:t>ישראל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פס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סעיף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19.4.04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 xml:space="preserve">יש לעשות כן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עוד בטרם ייעשה באקדח שימוש 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באמצעות הרחקת המחזיק בו מן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החברה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לפרק 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והעברת מסר מרתיע באמצעות עונש מאסר ממשי לריצוי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בפועל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ראו למשל </w:t>
      </w:r>
      <w:hyperlink r:id="rId1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3361/08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  <w:tab/>
      </w:r>
      <w:r>
        <w:rPr>
          <w:b/>
          <w:bCs/>
        </w:rPr>
        <w:t>27.7.08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 ליבוביץ</w:t>
      </w:r>
      <w:r>
        <w:rPr>
          <w:b/>
          <w:bCs/>
          <w:rtl w:val="true"/>
        </w:rPr>
        <w:t xml:space="preserve">'); 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5220/09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ab/>
        <w:t>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  <w:tab/>
      </w:r>
      <w:r>
        <w:rPr>
          <w:b/>
          <w:bCs/>
        </w:rPr>
        <w:t>30.12.09</w:t>
      </w:r>
      <w:r>
        <w:rPr>
          <w:b/>
          <w:bCs/>
          <w:rtl w:val="true"/>
        </w:rPr>
        <w:t>))</w:t>
      </w:r>
      <w:r>
        <w:rPr>
          <w:rtl w:val="true"/>
        </w:rPr>
        <w:t xml:space="preserve">."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start="720" w:end="0"/>
        <w:jc w:val="both"/>
        <w:rPr/>
      </w:pPr>
      <w:r>
        <w:rPr>
          <w:rtl w:val="true"/>
        </w:rPr>
        <w:t>עמדה זו</w:t>
      </w:r>
      <w:r>
        <w:rPr>
          <w:rtl w:val="true"/>
        </w:rPr>
        <w:t xml:space="preserve">, </w:t>
      </w:r>
      <w:r>
        <w:rPr>
          <w:rtl w:val="true"/>
        </w:rPr>
        <w:t>ולפיה יש מקום להטיל עונש של מאסר בפועל על מי שהורשע בהחזקת נשק</w:t>
      </w:r>
      <w:r>
        <w:rPr>
          <w:rtl w:val="true"/>
        </w:rPr>
        <w:t xml:space="preserve">, </w:t>
      </w:r>
      <w:r>
        <w:rPr>
          <w:rtl w:val="true"/>
        </w:rPr>
        <w:t>יפה אף בכל האמור לעבירה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ובפרט כשמדובר בנשק אוטומטי התקפי מסוג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 xml:space="preserve">", </w:t>
      </w:r>
      <w:r>
        <w:rPr>
          <w:rtl w:val="true"/>
        </w:rPr>
        <w:t>שפוטנציאל הנזק הטמון בו הוא רב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ייתכנו נסיבות בהן יהיה זה בלתי ראוי להטיל עונש של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אולם יצוין כי הדבר ייעשה במקרים חריגים בלבד</w:t>
      </w:r>
      <w:r>
        <w:rPr>
          <w:rtl w:val="true"/>
        </w:rPr>
        <w:t xml:space="preserve">, </w:t>
      </w:r>
      <w:r>
        <w:rPr>
          <w:rtl w:val="true"/>
        </w:rPr>
        <w:t>כשאינטרס השיקום או נסיבות אחרות יש בהם להצדיק את הסטייה מן הכלל האמור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 xml:space="preserve">בנסיבותיו של המקרה הנדון ראיתי לנכון לסטות מן הכלל ביחס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וזאת בשל חלקו הקטן בביצוע העבירה</w:t>
      </w:r>
      <w:r>
        <w:rPr>
          <w:rtl w:val="true"/>
        </w:rPr>
        <w:t xml:space="preserve">, </w:t>
      </w:r>
      <w:r>
        <w:rPr>
          <w:rtl w:val="true"/>
        </w:rPr>
        <w:t>ובשל נתוניו האישיים</w:t>
      </w:r>
      <w:r>
        <w:rPr>
          <w:rtl w:val="true"/>
        </w:rPr>
        <w:t xml:space="preserve">, </w:t>
      </w:r>
      <w:r>
        <w:rPr>
          <w:rtl w:val="true"/>
        </w:rPr>
        <w:t>לרבות גילו הצעיר והיותו נעדר עבר פלילי</w:t>
      </w:r>
      <w:r>
        <w:rPr>
          <w:rtl w:val="true"/>
        </w:rPr>
        <w:t xml:space="preserve">. </w:t>
      </w:r>
      <w:r>
        <w:rPr>
          <w:rtl w:val="true"/>
        </w:rPr>
        <w:t>למסקנה זו הגעתי בעיקר בהתחשב בכך שכתב האישום אינו מייחס לו מודעות כלשהי באשר למטרת הנסיעה ויעדה</w:t>
      </w:r>
      <w:r>
        <w:rPr>
          <w:rtl w:val="true"/>
        </w:rPr>
        <w:t xml:space="preserve">. </w:t>
      </w:r>
      <w:r>
        <w:rPr>
          <w:rtl w:val="true"/>
        </w:rPr>
        <w:t xml:space="preserve">במצב דברים זה יהיה זה בלתי ראוי לחשוף את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לחיי הכלא בשלב כה מוקדם בחייו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בכל הקשור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עמדתו המוסרית כלפי המעשים אינה מאפשרת להקל בעונשו באופן ניכר</w:t>
      </w:r>
      <w:r>
        <w:rPr>
          <w:rtl w:val="true"/>
        </w:rPr>
        <w:t xml:space="preserve">, </w:t>
      </w:r>
      <w:r>
        <w:rPr>
          <w:rtl w:val="true"/>
        </w:rPr>
        <w:t>באשר אינה באה לידי ביטוי על דרך המחדל בלבד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 על עצמו את תפקיד המוביל</w:t>
      </w:r>
      <w:r>
        <w:rPr>
          <w:rtl w:val="true"/>
        </w:rPr>
        <w:t xml:space="preserve">, </w:t>
      </w:r>
      <w:r>
        <w:rPr>
          <w:rtl w:val="true"/>
        </w:rPr>
        <w:t>כשהוא נמנע בתחילה לברר פרטים אודות הצורך בהובלה זו</w:t>
      </w:r>
      <w:r>
        <w:rPr>
          <w:rtl w:val="true"/>
        </w:rPr>
        <w:t xml:space="preserve">, </w:t>
      </w:r>
      <w:r>
        <w:rPr>
          <w:rtl w:val="true"/>
        </w:rPr>
        <w:t>ומאוחר יותר</w:t>
      </w:r>
      <w:r>
        <w:rPr>
          <w:rtl w:val="true"/>
        </w:rPr>
        <w:t xml:space="preserve">, </w:t>
      </w:r>
      <w:r>
        <w:rPr>
          <w:rtl w:val="true"/>
        </w:rPr>
        <w:t>שעה שהוא מודע להובלתו של המאג</w:t>
      </w:r>
      <w:r>
        <w:rPr>
          <w:rtl w:val="true"/>
        </w:rPr>
        <w:t xml:space="preserve">, </w:t>
      </w:r>
      <w:r>
        <w:rPr>
          <w:rtl w:val="true"/>
        </w:rPr>
        <w:t>ממשיך במשימתו מבלי למחות</w:t>
      </w:r>
      <w:r>
        <w:rPr>
          <w:rtl w:val="true"/>
        </w:rPr>
        <w:t xml:space="preserve">. </w:t>
      </w:r>
      <w:r>
        <w:rPr>
          <w:rtl w:val="true"/>
        </w:rPr>
        <w:t xml:space="preserve">דעתי היא כי אין בנסיבותיו האישיות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נימוק המצדיק סטייה מכלל הענישה האמור</w:t>
      </w:r>
      <w:r>
        <w:rPr>
          <w:rtl w:val="true"/>
        </w:rPr>
        <w:t xml:space="preserve">. </w:t>
      </w:r>
      <w:r>
        <w:rPr>
          <w:rtl w:val="true"/>
        </w:rPr>
        <w:t>נכון הוא כי גיליון המרשם הפלילי שלו אינו כולל הרשעות קודמות</w:t>
      </w:r>
      <w:r>
        <w:rPr>
          <w:rtl w:val="true"/>
        </w:rPr>
        <w:t xml:space="preserve">, </w:t>
      </w:r>
      <w:r>
        <w:rPr>
          <w:rtl w:val="true"/>
        </w:rPr>
        <w:t>אולם בעניין זה חידד בית המשפט העליון</w:t>
      </w:r>
      <w:r>
        <w:rPr>
          <w:rtl w:val="true"/>
        </w:rPr>
        <w:t xml:space="preserve">, </w:t>
      </w:r>
      <w:r>
        <w:rPr>
          <w:rtl w:val="true"/>
        </w:rPr>
        <w:t>כי גם לגבי נאשם שעברו נקי</w:t>
      </w:r>
      <w:r>
        <w:rPr>
          <w:rtl w:val="true"/>
        </w:rPr>
        <w:t xml:space="preserve">, </w:t>
      </w:r>
      <w:r>
        <w:rPr>
          <w:rtl w:val="true"/>
        </w:rPr>
        <w:t>תוביל הרשעה בעבירות נשק לעונש של מאסר בפועל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למשל נאמר </w:t>
      </w:r>
      <w:hyperlink r:id="rId14">
        <w:r>
          <w:rPr>
            <w:rStyle w:val="Hyperlink"/>
            <w:b/>
            <w:b/>
            <w:bCs/>
            <w:rtl w:val="true"/>
          </w:rPr>
          <w:t>בברע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2718/04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אבו דאחל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מדינת ישראל 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29.03.04</w:t>
      </w:r>
      <w:r>
        <w:rPr>
          <w:rtl w:val="true"/>
        </w:rPr>
        <w:t>):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66" w:start="1466" w:end="0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לשקול את הענישה בעבירות מסוג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פני הנסיבות האישיות של העבריין</w:t>
      </w:r>
      <w:r>
        <w:rPr>
          <w:rtl w:val="true"/>
        </w:rPr>
        <w:t>".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לסיכום ולאחר ששקלתי את כל השיקולים הן לקולא והן לחומרא ומבלי שנעלמה מעיני אף טענה מטענות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>הריני לגזור על כל אחד מהנאשמים את העונשים הבאים</w:t>
      </w:r>
      <w:r>
        <w:rPr>
          <w:rtl w:val="true"/>
        </w:rPr>
        <w:t xml:space="preserve">: 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 xml:space="preserve">על נאשם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 לנשיאה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ואילו היתרה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עבירת נשק או רכוש</w:t>
      </w:r>
      <w:r>
        <w:rPr>
          <w:rtl w:val="true"/>
        </w:rPr>
        <w:t xml:space="preserve">, </w:t>
      </w:r>
      <w:r>
        <w:rPr>
          <w:rtl w:val="true"/>
        </w:rPr>
        <w:t>או עבירה נגד ביטחון המדינה</w:t>
      </w:r>
      <w:r>
        <w:rPr>
          <w:rtl w:val="true"/>
        </w:rPr>
        <w:t xml:space="preserve">, </w:t>
      </w:r>
      <w:r>
        <w:rPr>
          <w:rtl w:val="true"/>
        </w:rPr>
        <w:t>שיורשע בגינה</w:t>
      </w:r>
      <w:r>
        <w:rPr>
          <w:rtl w:val="true"/>
        </w:rPr>
        <w:t>.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</w:t>
      </w:r>
      <w:r>
        <w:rPr/>
        <w:t>7,500</w:t>
      </w:r>
      <w:r>
        <w:rPr>
          <w:rtl w:val="true"/>
        </w:rPr>
        <w:t xml:space="preserve"> ₪ </w:t>
      </w:r>
      <w:r>
        <w:rPr>
          <w:rtl w:val="true"/>
        </w:rPr>
        <w:t>או חודשיים מאסר תמורתו בנוסף לכל מאסר אחר שהנאשם יישא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ab/>
      </w:r>
    </w:p>
    <w:p>
      <w:pPr>
        <w:pStyle w:val="Style14"/>
        <w:ind w:firstLine="720" w:end="0"/>
        <w:jc w:val="both"/>
        <w:rPr>
          <w:u w:val="single"/>
        </w:rPr>
      </w:pPr>
      <w:r>
        <w:rPr>
          <w:u w:val="single"/>
          <w:rtl w:val="true"/>
        </w:rPr>
        <w:t xml:space="preserve">על נאשם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לנשיאה בפועל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ואילו היתרה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עבירת נשק או רכוש</w:t>
      </w:r>
      <w:r>
        <w:rPr>
          <w:rtl w:val="true"/>
        </w:rPr>
        <w:t xml:space="preserve">, </w:t>
      </w:r>
      <w:r>
        <w:rPr>
          <w:rtl w:val="true"/>
        </w:rPr>
        <w:t>או עבירה נגד ביטחון המדינה</w:t>
      </w:r>
      <w:r>
        <w:rPr>
          <w:rtl w:val="true"/>
        </w:rPr>
        <w:t xml:space="preserve">, </w:t>
      </w:r>
      <w:r>
        <w:rPr>
          <w:rtl w:val="true"/>
        </w:rPr>
        <w:t>שיורשע בגינה</w:t>
      </w:r>
      <w:r>
        <w:rPr>
          <w:rtl w:val="true"/>
        </w:rPr>
        <w:t>.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 יעמוד במבחן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פקודת המבחן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במהלך תקופה זו יהיה הנאשם נתון לפיקוח שירות המבחן</w:t>
      </w:r>
      <w:r>
        <w:rPr>
          <w:rtl w:val="true"/>
        </w:rPr>
        <w:t xml:space="preserve">. </w:t>
      </w:r>
      <w:r>
        <w:rPr>
          <w:rtl w:val="true"/>
        </w:rPr>
        <w:t>שירות המבחן יבחן את הצורך בשילובו של הנאשם בתכנית טיפול קבוצתית או פרטנית במהלך תקופת המבחן</w:t>
      </w:r>
      <w:r>
        <w:rPr>
          <w:rtl w:val="true"/>
        </w:rPr>
        <w:t>.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מובהר לנאשם כי במהלך תקופת המבחן עליו לציית להוראות שירות המבחן</w:t>
      </w:r>
      <w:r>
        <w:rPr>
          <w:rtl w:val="true"/>
        </w:rPr>
        <w:t xml:space="preserve">. </w:t>
      </w:r>
      <w:r>
        <w:rPr>
          <w:rtl w:val="true"/>
        </w:rPr>
        <w:t>במידה ולא יעשה כן</w:t>
      </w:r>
      <w:r>
        <w:rPr>
          <w:rtl w:val="true"/>
        </w:rPr>
        <w:t xml:space="preserve">, </w:t>
      </w:r>
      <w:r>
        <w:rPr>
          <w:rtl w:val="true"/>
        </w:rPr>
        <w:t>או שיעבור עבירה נוספת במהלך התקופה</w:t>
      </w:r>
      <w:r>
        <w:rPr>
          <w:rtl w:val="true"/>
        </w:rPr>
        <w:t xml:space="preserve">, </w:t>
      </w:r>
      <w:r>
        <w:rPr>
          <w:rtl w:val="true"/>
        </w:rPr>
        <w:t>הוא יהיה צפוי לעונש נוסף על העבירה בה הורשע בתיק זה</w:t>
      </w:r>
      <w:r>
        <w:rPr>
          <w:rtl w:val="true"/>
        </w:rPr>
        <w:t>.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 ירצה את עבודות השירות במועצה דתית הדרוזית העליונה בכפר ג</w:t>
      </w:r>
      <w:r>
        <w:rPr>
          <w:rtl w:val="true"/>
        </w:rPr>
        <w:t>'</w:t>
      </w:r>
      <w:r>
        <w:rPr>
          <w:rtl w:val="true"/>
        </w:rPr>
        <w:t xml:space="preserve">וליס וזאת החל ביום </w:t>
      </w:r>
      <w:r>
        <w:rPr/>
        <w:t>02.08.12</w:t>
      </w:r>
      <w:r>
        <w:rPr>
          <w:rtl w:val="true"/>
        </w:rPr>
        <w:t xml:space="preserve"> </w:t>
      </w:r>
      <w:r>
        <w:rPr>
          <w:rtl w:val="true"/>
        </w:rPr>
        <w:t>ועד תום התקופה ברציפות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להתייצב ביום </w:t>
      </w:r>
      <w:r>
        <w:rPr/>
        <w:t>02.08.12</w:t>
      </w:r>
      <w:r>
        <w:rPr>
          <w:rtl w:val="true"/>
        </w:rPr>
        <w:t xml:space="preserve"> </w:t>
      </w:r>
      <w:r>
        <w:rPr>
          <w:rtl w:val="true"/>
        </w:rPr>
        <w:t>בפני הממונה על עבודות שירות לשם תחילת ריצוי עונשו</w:t>
      </w:r>
      <w:r>
        <w:rPr>
          <w:rtl w:val="true"/>
        </w:rPr>
        <w:t xml:space="preserve">. 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כספי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 חודש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Style14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15/07/2012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Style14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Style14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#7#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Style14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Style14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אני מורה על עיכוב ביצוע גזר הדין לגבי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עד ליום </w:t>
      </w:r>
      <w:r>
        <w:rPr>
          <w:rFonts w:cs="David" w:ascii="David" w:hAnsi="David"/>
        </w:rPr>
        <w:t>30.07.12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לצורך התארגנות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בתום תקופה זו על הנאשם להתייצב במזכירות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 המחוזי נצרת על מנת להתחיל בריצוי 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עד אותו מועד תנאי השחרור בהם נתון הנאשם יישארו על כנם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Style14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Style14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Style14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Style14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Style14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Style14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rFonts w:cs="David" w:ascii="David" w:hAnsi="David"/>
          <w:color w:val="000000"/>
          <w:sz w:val="22"/>
          <w:szCs w:val="22"/>
        </w:rPr>
        <w:t>54678313-24/10</w:t>
      </w:r>
    </w:p>
    <w:p>
      <w:pPr>
        <w:pStyle w:val="Style14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color w:val="FFFFFF"/>
          <w:sz w:val="6"/>
          <w:szCs w:val="6"/>
        </w:rPr>
        <w:t>5467831354678313</w:t>
      </w: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#8#</w:t>
      </w:r>
      <w:r>
        <w:rPr>
          <w:rFonts w:cs="David" w:ascii="David" w:hAnsi="David"/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 תמוז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15/07/2012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24/10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24-10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ד מרעי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12-h1">
    <w:name w:val="12-h1"/>
    <w:qFormat/>
    <w:rPr>
      <w:rFonts w:ascii="Times New Roman" w:hAnsi="Times New Roman" w:cs="Times New Roman"/>
      <w:b/>
      <w:bCs/>
      <w:sz w:val="24"/>
      <w:szCs w:val="24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12-p">
    <w:name w:val="12-p"/>
    <w:basedOn w:val="Normal"/>
    <w:qFormat/>
    <w:pPr>
      <w:bidi w:val="0"/>
    </w:pPr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פזית"/>
    <w:basedOn w:val="Normal"/>
    <w:qFormat/>
    <w:pPr>
      <w:spacing w:lineRule="auto" w:line="36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1553" TargetMode="External"/><Relationship Id="rId6" Type="http://schemas.openxmlformats.org/officeDocument/2006/relationships/hyperlink" Target="http://www.nevo.co.il/law/71553/1.1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case/5969313" TargetMode="External"/><Relationship Id="rId11" Type="http://schemas.openxmlformats.org/officeDocument/2006/relationships/hyperlink" Target="http://www.nevo.co.il/case/5762686" TargetMode="External"/><Relationship Id="rId12" Type="http://schemas.openxmlformats.org/officeDocument/2006/relationships/hyperlink" Target="http://www.nevo.co.il/case/5891605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law/71553/1.1.b" TargetMode="External"/><Relationship Id="rId16" Type="http://schemas.openxmlformats.org/officeDocument/2006/relationships/hyperlink" Target="http://www.nevo.co.il/law/7155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2016-07-27T15:32:00Z</dcterms:created>
  <dc:creator>Alina Raichlin</dc:creator>
  <dc:description/>
  <cp:keywords/>
  <dc:language>en-IL</dc:language>
  <cp:lastModifiedBy>run</cp:lastModifiedBy>
  <dcterms:modified xsi:type="dcterms:W3CDTF">2016-07-27T15:32:00Z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מג'ד מרעי;עימאד ראמל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5969313;5762686;5891605;6000182;5852404</vt:lpwstr>
  </property>
  <property fmtid="{D5CDD505-2E9C-101B-9397-08002B2CF9AE}" pid="9" name="CITY">
    <vt:lpwstr>נצ'</vt:lpwstr>
  </property>
  <property fmtid="{D5CDD505-2E9C-101B-9397-08002B2CF9AE}" pid="10" name="DATE">
    <vt:lpwstr>20120715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70301/144.b;029</vt:lpwstr>
  </property>
  <property fmtid="{D5CDD505-2E9C-101B-9397-08002B2CF9AE}" pid="15" name="LAWLISTTMP2">
    <vt:lpwstr>71553/001.1.b</vt:lpwstr>
  </property>
  <property fmtid="{D5CDD505-2E9C-101B-9397-08002B2CF9AE}" pid="16" name="LAWYER">
    <vt:lpwstr>לילך לוי מלאך;דאהר מהדי;אבי פסטרנק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</vt:lpwstr>
  </property>
  <property fmtid="{D5CDD505-2E9C-101B-9397-08002B2CF9AE}" pid="23" name="NEWPARTB">
    <vt:lpwstr/>
  </property>
  <property fmtid="{D5CDD505-2E9C-101B-9397-08002B2CF9AE}" pid="24" name="NEWPARTC">
    <vt:lpwstr>10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24</vt:lpwstr>
  </property>
  <property fmtid="{D5CDD505-2E9C-101B-9397-08002B2CF9AE}" pid="31" name="PROCYEAR">
    <vt:lpwstr>10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390020120715</vt:lpwstr>
  </property>
  <property fmtid="{D5CDD505-2E9C-101B-9397-08002B2CF9AE}" pid="35" name="TYPE_N_DATE">
    <vt:lpwstr>39020120715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