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מרכז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24008-09-10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אגו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tbl>
      <w:tblPr>
        <w:bidiVisual w:val="true"/>
        <w:tblW w:w="880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733"/>
        <w:gridCol w:w="1071"/>
        <w:gridCol w:w="3676"/>
        <w:gridCol w:w="82"/>
      </w:tblGrid>
      <w:tr>
        <w:trPr>
          <w:trHeight w:val="337" w:hRule="atLeast"/>
        </w:trPr>
        <w:tc>
          <w:tcPr>
            <w:tcW w:w="3973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לפני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זכריה כספי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סגן נשיא</w:t>
            </w:r>
          </w:p>
          <w:p>
            <w:pPr>
              <w:pStyle w:val="Normal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71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6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82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562" w:type="dxa"/>
            <w:gridSpan w:val="4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עלי גאנם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Style w:val="LineNumber"/>
          <w:rFonts w:ascii="Arial" w:hAnsi="Arial" w:cs="Arial"/>
        </w:rPr>
      </w:pPr>
      <w:r>
        <w:rPr>
          <w:rtl w:val="true"/>
        </w:rPr>
      </w:r>
    </w:p>
    <w:p>
      <w:pPr>
        <w:pStyle w:val="Normal"/>
        <w:ind w:end="0"/>
        <w:jc w:val="start"/>
        <w:rPr>
          <w:rStyle w:val="LineNumber"/>
          <w:rFonts w:ascii="Arial" w:hAnsi="Arial" w:cs="Arial"/>
          <w:sz w:val="6"/>
          <w:szCs w:val="6"/>
        </w:rPr>
      </w:pPr>
      <w:r>
        <w:rPr>
          <w:rStyle w:val="LineNumber"/>
          <w:rFonts w:cs="Arial" w:ascii="Arial" w:hAnsi="Arial"/>
          <w:sz w:val="6"/>
          <w:szCs w:val="6"/>
          <w:rtl w:val="true"/>
        </w:rPr>
        <w:t>&lt;</w:t>
      </w:r>
      <w:r>
        <w:rPr>
          <w:rStyle w:val="LineNumber"/>
          <w:rFonts w:cs="Arial" w:ascii="Arial" w:hAnsi="Arial"/>
          <w:sz w:val="6"/>
          <w:szCs w:val="6"/>
        </w:rPr>
        <w:t>#2#</w:t>
      </w:r>
      <w:r>
        <w:rPr>
          <w:rStyle w:val="LineNumber"/>
          <w:rFonts w:cs="Arial" w:ascii="Arial" w:hAnsi="Arial"/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נועה ארזי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כ הנאשם </w:t>
      </w:r>
      <w:r>
        <w:rPr>
          <w:b w:val="false"/>
          <w:bCs w:val="false"/>
          <w:u w:val="none"/>
        </w:rPr>
        <w:t>12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ארז מלמד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הנאשם </w:t>
      </w:r>
      <w:r>
        <w:rPr>
          <w:b w:val="false"/>
          <w:bCs w:val="false"/>
          <w:u w:val="none"/>
        </w:rPr>
        <w:t>12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התייצב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/>
          <w:color w:val="FF0000"/>
          <w:sz w:val="28"/>
          <w:sz w:val="28"/>
          <w:rtl w:val="true"/>
        </w:rPr>
        <w:t>במסמך זה הושמטו פרוטוקולים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rStyle w:val="LineNumber"/>
        </w:rPr>
      </w:pPr>
      <w:bookmarkStart w:id="6" w:name="ABSTRACT_START"/>
      <w:bookmarkEnd w:id="6"/>
      <w:r>
        <w:rPr>
          <w:rStyle w:val="LineNumber"/>
          <w:rtl w:val="true"/>
        </w:rPr>
        <w:t xml:space="preserve">הנאשם </w:t>
      </w:r>
      <w:r>
        <w:rPr>
          <w:rStyle w:val="LineNumber"/>
        </w:rPr>
        <w:t>12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 xml:space="preserve">יליד </w:t>
      </w:r>
      <w:r>
        <w:rPr>
          <w:rStyle w:val="LineNumber"/>
        </w:rPr>
        <w:t>1988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לקוי</w:t>
      </w:r>
      <w:r>
        <w:rPr>
          <w:rStyle w:val="LineNumber"/>
          <w:rtl w:val="true"/>
        </w:rPr>
        <w:t>-</w:t>
      </w:r>
      <w:r>
        <w:rPr>
          <w:rStyle w:val="LineNumber"/>
          <w:rtl w:val="true"/>
        </w:rPr>
        <w:t>ראיה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 xml:space="preserve">הוא האחרון מבין </w:t>
      </w:r>
      <w:r>
        <w:rPr>
          <w:rStyle w:val="LineNumber"/>
        </w:rPr>
        <w:t>17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הנאשמים הנותן את הדין בגין מעשיו במסגרת פרשייה זו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 xml:space="preserve">מתברר כי ביום </w:t>
      </w:r>
      <w:r>
        <w:rPr>
          <w:rStyle w:val="LineNumber"/>
        </w:rPr>
        <w:t>16.6.10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 xml:space="preserve">הוא קשר קשר עם הנאשם </w:t>
      </w:r>
      <w:r>
        <w:rPr>
          <w:rStyle w:val="LineNumber"/>
        </w:rPr>
        <w:t>2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לאספקת אקדח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לשם קידום הקשר שוחחו השניים והנאשם הודיע לו כי לא ניתן להוציא את העסקה אל הפועל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ודיבר עימו על כלי נשק אחר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השניים נדברו לשוחח על המחירים של כלי נשק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שכן מחיר אותו אקדח היה יקר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 xml:space="preserve">בשתי שיחות נוספות שוחחו השניים על נשק ארוך וכן על שני אקדחים שניתן לספק לנאשם </w:t>
      </w:r>
      <w:r>
        <w:rPr>
          <w:rStyle w:val="LineNumber"/>
        </w:rPr>
        <w:t>2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bookmarkStart w:id="7" w:name="ABSTRACT_END"/>
      <w:bookmarkEnd w:id="7"/>
      <w:r>
        <w:rPr>
          <w:rStyle w:val="LineNumber"/>
          <w:rtl w:val="true"/>
        </w:rPr>
        <w:t xml:space="preserve">הנאשם </w:t>
      </w:r>
      <w:r>
        <w:rPr>
          <w:rStyle w:val="LineNumber"/>
        </w:rPr>
        <w:t>12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הודה במיוחס לו באישום הרביעי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כפי שתוקן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במסגרת הסדר טיעון תלוי</w:t>
      </w:r>
      <w:r>
        <w:rPr>
          <w:rStyle w:val="LineNumber"/>
          <w:rtl w:val="true"/>
        </w:rPr>
        <w:t>-</w:t>
      </w:r>
      <w:r>
        <w:rPr>
          <w:rStyle w:val="LineNumber"/>
          <w:rtl w:val="true"/>
        </w:rPr>
        <w:t>תסקיר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בתסקיר שהוגש אודותיו תוארו קורות חייו ותולדות משפחתו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הוא רווק המתגורר בבית הוריו ברהט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בעל יכולות מילוליות וקוגניטיביות תקינות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על אף מגבלתו השתלב היטב במסגרות חינוך ותעסוקה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 xml:space="preserve">סיים </w:t>
      </w:r>
      <w:r>
        <w:rPr>
          <w:rStyle w:val="LineNumber"/>
        </w:rPr>
        <w:t>12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שנות לימוד ובעל תעודת בגרות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 xml:space="preserve">הוא ללא עבר פלילי ובין השנים </w:t>
      </w:r>
      <w:r>
        <w:rPr>
          <w:rStyle w:val="LineNumber"/>
        </w:rPr>
        <w:t>2007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ו</w:t>
      </w:r>
      <w:r>
        <w:rPr>
          <w:rStyle w:val="LineNumber"/>
          <w:rtl w:val="true"/>
        </w:rPr>
        <w:t xml:space="preserve">- </w:t>
      </w:r>
      <w:r>
        <w:rPr>
          <w:rStyle w:val="LineNumber"/>
        </w:rPr>
        <w:t>2009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התנדב לשירות לאומי מטעם עמותה וביצע את השירות בבית</w:t>
      </w:r>
      <w:r>
        <w:rPr>
          <w:rStyle w:val="LineNumber"/>
          <w:rtl w:val="true"/>
        </w:rPr>
        <w:t>-</w:t>
      </w:r>
      <w:r>
        <w:rPr>
          <w:rStyle w:val="LineNumber"/>
          <w:rtl w:val="true"/>
        </w:rPr>
        <w:t>החולים סורוקה בתפקידי תרגום לשפה הערבית במחלקת הילדים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לאחר שסיים את השירות התקשה במציאת עבודה אחרת ושב להתנדב בבית</w:t>
      </w:r>
      <w:r>
        <w:rPr>
          <w:rStyle w:val="LineNumber"/>
          <w:rtl w:val="true"/>
        </w:rPr>
        <w:t>-</w:t>
      </w:r>
      <w:r>
        <w:rPr>
          <w:rStyle w:val="LineNumber"/>
          <w:rtl w:val="true"/>
        </w:rPr>
        <w:t>החולים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שירות המבחן ביקש לבחון את האפשרות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כי יוטל עליו צו של</w:t>
      </w:r>
      <w:r>
        <w:rPr>
          <w:rStyle w:val="LineNumber"/>
          <w:rtl w:val="true"/>
        </w:rPr>
        <w:t>"</w:t>
      </w:r>
      <w:r>
        <w:rPr>
          <w:rStyle w:val="LineNumber"/>
          <w:rtl w:val="true"/>
        </w:rPr>
        <w:t>צ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אולם לא הצליח במציאת מקום מתאים בשל מגבלת הראיה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שירות המבחן המליץ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איפוא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לכבד את הסדר הטיעון ולחייב את הנאשם בעונש מאסר מותנה ובקנס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באשר לעבירה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הנאשם לקח אחריות על ביצועה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הגם שנימק את מעשיו בהסברים שונים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על עבירות הנשק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ככלל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כבר אמרתי דברים הרבה במהלך גזירת הדין על הנאשמים האחרים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עבירות אלה הן עבירות קשות וצפויים מהן גם סיכונים לחברה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שכן המרחק בין החזקת הנשק לשימוש בו איננו רב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כבר היו מקרים רבים של פגיעות בנשק שהוחזק שלא כדין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במיוחד במגזר הערבי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ולרבות במקרים של ירי בנשק כזה במסגרת אירועים ושמחות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כמו חתונות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גם מקרי פגיעה קטלניים קרו אפילו בשימוש כזה בנשק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כאשר קרואי חתונה נפצעו או נורו למוות בשוגג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אגב ירי השמחה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המסקנה מכל אלה כי יש להרתיע מהחזקת נשק שלא כחוק או משימוש בו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או גם מעשיית פעולות לצורך השגתו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כולל קשירת קשר לכך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כמו במקרה הזה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 xml:space="preserve">שבו הורשע הנאשם בעבירה של </w:t>
      </w:r>
      <w:r>
        <w:rPr>
          <w:rStyle w:val="LineNumber"/>
          <w:b/>
          <w:b/>
          <w:bCs/>
          <w:rtl w:val="true"/>
        </w:rPr>
        <w:t>קשר לביצוע עבירות בנשק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יחד עם זאת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הענישה היא אינדיווידואלית ובגדר השיקולים גם שיקולים אישיים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באי</w:t>
      </w:r>
      <w:r>
        <w:rPr>
          <w:rStyle w:val="LineNumber"/>
          <w:rtl w:val="true"/>
        </w:rPr>
        <w:t>-</w:t>
      </w:r>
      <w:r>
        <w:rPr>
          <w:rStyle w:val="LineNumber"/>
          <w:rtl w:val="true"/>
        </w:rPr>
        <w:t>כוח הצדדים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שניהם יחדיו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הביאו לכדי ביטוי את הנסיבות האישיות של הנאשם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במסגרת הכוללת של מה שעשה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ומעשיו כאן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אדגיש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הם בחומרה מופחתת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יחסית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מהאחרים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האחרים נידונו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בהתאמה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לעונשי מאסר משמעותיים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כאלה או אחרים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או גם בעבודות שירות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הכל על פי האיזון שבין מה שעשו לבין נסיבותיהם האישיות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לאחר שעיינתי בתסקיר ושמעתי את טיעוני הצדדים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אני מאשר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כעיקרון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את רכיבי הענישה שהציעו יחדיו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שכן הם הולמים את הנסיבות כולן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>מכיוון שכך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אני גוזר על הנאשם את העונשים הבאים</w:t>
      </w:r>
      <w:r>
        <w:rPr>
          <w:rStyle w:val="LineNumber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</w:rPr>
      </w:pPr>
      <w:r>
        <w:rPr>
          <w:rStyle w:val="LineNumber"/>
        </w:rPr>
        <w:t>1</w:t>
      </w:r>
      <w:r>
        <w:rPr>
          <w:rStyle w:val="LineNumber"/>
          <w:rtl w:val="true"/>
        </w:rPr>
        <w:t>.</w:t>
        <w:tab/>
      </w:r>
      <w:r>
        <w:rPr>
          <w:rStyle w:val="LineNumber"/>
        </w:rPr>
        <w:t>12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חודשי מאסר על תנאי ל</w:t>
      </w:r>
      <w:r>
        <w:rPr>
          <w:rStyle w:val="LineNumber"/>
          <w:rtl w:val="true"/>
        </w:rPr>
        <w:t xml:space="preserve">- </w:t>
      </w:r>
      <w:r>
        <w:rPr>
          <w:rStyle w:val="LineNumber"/>
        </w:rPr>
        <w:t>3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שנים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שלא יעבור במהלך תקופה זו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>עבירה עליה הורשע או עבירת נשק כלשהי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</w:rPr>
      </w:pPr>
      <w:r>
        <w:rPr>
          <w:rStyle w:val="LineNumber"/>
        </w:rPr>
        <w:t>2</w:t>
      </w:r>
      <w:r>
        <w:rPr>
          <w:rStyle w:val="LineNumber"/>
          <w:rtl w:val="true"/>
        </w:rPr>
        <w:t>.</w:t>
        <w:tab/>
      </w:r>
      <w:r>
        <w:rPr>
          <w:rStyle w:val="LineNumber"/>
          <w:rtl w:val="true"/>
        </w:rPr>
        <w:t xml:space="preserve">קנס בסכום של </w:t>
      </w:r>
      <w:r>
        <w:rPr>
          <w:rStyle w:val="LineNumber"/>
        </w:rPr>
        <w:t>1,500</w:t>
      </w:r>
      <w:r>
        <w:rPr>
          <w:rStyle w:val="LineNumber"/>
          <w:rtl w:val="true"/>
        </w:rPr>
        <w:t xml:space="preserve"> ₪ </w:t>
      </w:r>
      <w:r>
        <w:rPr>
          <w:rStyle w:val="LineNumber"/>
          <w:rtl w:val="true"/>
        </w:rPr>
        <w:t xml:space="preserve">או </w:t>
      </w:r>
      <w:r>
        <w:rPr>
          <w:rStyle w:val="LineNumber"/>
        </w:rPr>
        <w:t>3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חודשי מאסר תמורתו</w:t>
      </w:r>
      <w:r>
        <w:rPr>
          <w:rStyle w:val="LineNumber"/>
          <w:rtl w:val="true"/>
        </w:rPr>
        <w:t xml:space="preserve">. </w:t>
      </w:r>
      <w:r>
        <w:rPr>
          <w:rStyle w:val="LineNumber"/>
          <w:rtl w:val="true"/>
        </w:rPr>
        <w:t>הקנס ישולם ב</w:t>
      </w:r>
      <w:r>
        <w:rPr>
          <w:rStyle w:val="LineNumber"/>
          <w:rtl w:val="true"/>
        </w:rPr>
        <w:t xml:space="preserve">- </w:t>
      </w:r>
      <w:r>
        <w:rPr>
          <w:rStyle w:val="LineNumber"/>
        </w:rPr>
        <w:t>3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תשלומים חודשיים שווים</w:t>
      </w:r>
      <w:r>
        <w:rPr>
          <w:rStyle w:val="LineNumber"/>
          <w:rtl w:val="true"/>
        </w:rPr>
        <w:t xml:space="preserve">, </w:t>
      </w:r>
      <w:r>
        <w:rPr>
          <w:rStyle w:val="LineNumber"/>
          <w:rtl w:val="true"/>
        </w:rPr>
        <w:t xml:space="preserve">החל מיום </w:t>
      </w:r>
      <w:r>
        <w:rPr>
          <w:rStyle w:val="LineNumber"/>
        </w:rPr>
        <w:t>15.12.2011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זכות ערעור לבית המשפט העליון בתוך </w:t>
      </w:r>
      <w:r>
        <w:rPr>
          <w:rStyle w:val="LineNumber"/>
        </w:rPr>
        <w:t>45</w:t>
      </w:r>
      <w:r>
        <w:rPr>
          <w:rStyle w:val="LineNumber"/>
          <w:rtl w:val="true"/>
        </w:rPr>
        <w:t xml:space="preserve"> </w:t>
      </w:r>
      <w:r>
        <w:rPr>
          <w:rStyle w:val="LineNumber"/>
          <w:rtl w:val="true"/>
        </w:rPr>
        <w:t>ימים מהיום</w:t>
      </w:r>
      <w:r>
        <w:rPr>
          <w:rStyle w:val="LineNumber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  <w:sz w:val="6"/>
          <w:szCs w:val="6"/>
        </w:rPr>
      </w:pPr>
      <w:r>
        <w:rPr>
          <w:rStyle w:val="LineNumber"/>
          <w:sz w:val="6"/>
          <w:szCs w:val="6"/>
          <w:rtl w:val="true"/>
        </w:rPr>
        <w:t>&lt;</w:t>
      </w:r>
      <w:r>
        <w:rPr>
          <w:rStyle w:val="LineNumber"/>
          <w:sz w:val="6"/>
          <w:szCs w:val="6"/>
        </w:rPr>
        <w:t>#4#</w:t>
      </w:r>
      <w:r>
        <w:rPr>
          <w:rStyle w:val="LineNumber"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Style w:val="LineNumber"/>
          <w:sz w:val="6"/>
          <w:szCs w:val="6"/>
        </w:rPr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ניתן והודע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חשון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24/11/2011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הצדדים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זכריה כספי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זכריה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כספי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Style w:val="LineNumber"/>
        </w:rPr>
      </w:pPr>
      <w:r>
        <w:rPr>
          <w:rStyle w:val="LineNumber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מרכז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24008-09-10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עלי גאנם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>
      <w:rFonts w:cs="Arial"/>
      <w:szCs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advertisements/nevo-100.doc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2011-11-28T12:42:00Z</dcterms:created>
  <dc:creator> </dc:creator>
  <dc:description/>
  <cp:keywords/>
  <dc:language>en-IL</dc:language>
  <cp:lastModifiedBy>hofit</cp:lastModifiedBy>
  <dcterms:modified xsi:type="dcterms:W3CDTF">2011-11-28T12:42:00Z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עלי גאנם</vt:lpwstr>
  </property>
  <property fmtid="{D5CDD505-2E9C-101B-9397-08002B2CF9AE}" pid="4" name="CITY">
    <vt:lpwstr>מרכז</vt:lpwstr>
  </property>
  <property fmtid="{D5CDD505-2E9C-101B-9397-08002B2CF9AE}" pid="5" name="DATE">
    <vt:lpwstr>20111124</vt:lpwstr>
  </property>
  <property fmtid="{D5CDD505-2E9C-101B-9397-08002B2CF9AE}" pid="6" name="ISABSTRACT">
    <vt:lpwstr>Y</vt:lpwstr>
  </property>
  <property fmtid="{D5CDD505-2E9C-101B-9397-08002B2CF9AE}" pid="7" name="JUDGE">
    <vt:lpwstr>זכריה כספי</vt:lpwstr>
  </property>
  <property fmtid="{D5CDD505-2E9C-101B-9397-08002B2CF9AE}" pid="8" name="LAWYER">
    <vt:lpwstr>נועה ארזי;ארז מלמד</vt:lpwstr>
  </property>
  <property fmtid="{D5CDD505-2E9C-101B-9397-08002B2CF9AE}" pid="9" name="NEWPARTA">
    <vt:lpwstr>24008</vt:lpwstr>
  </property>
  <property fmtid="{D5CDD505-2E9C-101B-9397-08002B2CF9AE}" pid="10" name="NEWPARTB">
    <vt:lpwstr>09</vt:lpwstr>
  </property>
  <property fmtid="{D5CDD505-2E9C-101B-9397-08002B2CF9AE}" pid="11" name="NEWPARTC">
    <vt:lpwstr>10</vt:lpwstr>
  </property>
  <property fmtid="{D5CDD505-2E9C-101B-9397-08002B2CF9AE}" pid="12" name="NEWPROC">
    <vt:lpwstr>תפ</vt:lpwstr>
  </property>
  <property fmtid="{D5CDD505-2E9C-101B-9397-08002B2CF9AE}" pid="13" name="PSAKDIN">
    <vt:lpwstr>גזר-דין</vt:lpwstr>
  </property>
  <property fmtid="{D5CDD505-2E9C-101B-9397-08002B2CF9AE}" pid="14" name="TYPE">
    <vt:lpwstr>2</vt:lpwstr>
  </property>
  <property fmtid="{D5CDD505-2E9C-101B-9397-08002B2CF9AE}" pid="15" name="TYPE_ABS_DATE">
    <vt:lpwstr>390020111124</vt:lpwstr>
  </property>
  <property fmtid="{D5CDD505-2E9C-101B-9397-08002B2CF9AE}" pid="16" name="TYPE_N_DATE">
    <vt:lpwstr>39020111124</vt:lpwstr>
  </property>
  <property fmtid="{D5CDD505-2E9C-101B-9397-08002B2CF9AE}" pid="17" name="WORDNUMPAGES">
    <vt:lpwstr>2</vt:lpwstr>
  </property>
</Properties>
</file>