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24068-12-11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24053-12-11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אברהם שמייב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אביטל פורטנוי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גדי ציון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 xml:space="preserve">הנאשם הורשע על פי הודאתו בעבירות של החזקת סם שלא לצריכה עצמית לפי סעיפים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רישא לפקודת הסמים המסוכנים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 xml:space="preserve">וכן גם בעבירה של הפרעה לשוטר במילוי תפקידו 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 תשל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ז </w:t>
        </w:r>
        <w:r>
          <w:rPr>
            <w:rStyle w:val="Hyperlink"/>
          </w:rPr>
          <w:t>1977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8.12.11</w:t>
      </w:r>
      <w:r>
        <w:rPr>
          <w:rtl w:val="true"/>
        </w:rPr>
        <w:t xml:space="preserve"> </w:t>
      </w:r>
      <w:r>
        <w:rPr>
          <w:rtl w:val="true"/>
        </w:rPr>
        <w:t>הגיעו שוטרים לחניון בניין בתחומי העיר רמלה ושם פגשו בנאשם</w:t>
      </w:r>
      <w:r>
        <w:rPr>
          <w:rtl w:val="true"/>
        </w:rPr>
        <w:t xml:space="preserve">. </w:t>
      </w:r>
      <w:r>
        <w:rPr>
          <w:rtl w:val="true"/>
        </w:rPr>
        <w:t>במהלך דין ודברים שהתקיים בין הנאשם לשוטרים</w:t>
      </w:r>
      <w:r>
        <w:rPr>
          <w:rtl w:val="true"/>
        </w:rPr>
        <w:t xml:space="preserve">, </w:t>
      </w:r>
      <w:r>
        <w:rPr>
          <w:rtl w:val="true"/>
        </w:rPr>
        <w:t>בתגובה לשאלת השוטרים הנאשם השיב שהינו מתגורר בקריית מלאכי עם חברתו וכי הגיע לחניון כדי לבקר את אחותו המתגוררת בסמוך וכל זאת כאשר פרטים אלה הינם כוזבים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פנו השוטרים יחד עם הנאשם לדירתו ובחיפוש שנערך נתפסו בארוך חדר השינה הפריטים הבאים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קופסאות גפרורים שהכילו סם מסוכן מסוג קנבוס במשקל של </w:t>
      </w:r>
      <w:r>
        <w:rPr/>
        <w:t>16.06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יחידות של סם מסוכן מסוג חשיש במשקל כולל של </w:t>
      </w:r>
      <w:r>
        <w:rPr/>
        <w:t>111.15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הנאשם צרף את </w:t>
      </w:r>
      <w:hyperlink r:id="rId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35095-05-12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 בית משפט השלום ברחובות והורשע בעבירה של החזקת סמים לצריכה עצמית לפי סעיף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סיפא לפקודת הסמים המסוכנים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 של הנאשם הרשעה אחת של בית משפט השלום ברמלה ב</w:t>
      </w:r>
      <w:hyperlink r:id="rId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2415/08</w:t>
        </w:r>
      </w:hyperlink>
      <w:r>
        <w:rPr>
          <w:rtl w:val="true"/>
        </w:rPr>
        <w:t xml:space="preserve"> </w:t>
      </w:r>
      <w:r>
        <w:rPr>
          <w:rtl w:val="true"/>
        </w:rPr>
        <w:t>בגין עבירה של החזקת סם לצריכה עצמית ונדון בין השאר למאסר מותנה של חמישה 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לפיו עונש המאסר המותנה של חמישה חודשים יופעל וירוצה בעבודות שירות וכן יוטל עליו מאסר 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 בפועל של רישיון הנהיגה ופסילה על תנאי</w:t>
      </w:r>
      <w:r>
        <w:rPr>
          <w:rtl w:val="true"/>
        </w:rPr>
        <w:t xml:space="preserve">. </w:t>
      </w:r>
      <w:r>
        <w:rPr>
          <w:rtl w:val="true"/>
        </w:rPr>
        <w:t>כאשר גובה הקנס ואורך הפסילה יישארו לשיקול דעתו של בית 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נתקבלו מספר תסקירים לגבי הנאשם אשר מתייחסים לנסיבותיו האישיות וכן לסוגיה קריטית בתיק זה שהינה נוגעת להתמכרותו לסמים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הנאשם שלל נזקקות לטיפול המתאים לצרכיו</w:t>
      </w:r>
      <w:r>
        <w:rPr>
          <w:rtl w:val="true"/>
        </w:rPr>
        <w:t xml:space="preserve">, </w:t>
      </w:r>
      <w:r>
        <w:rPr>
          <w:rtl w:val="true"/>
        </w:rPr>
        <w:t>ושירות המבחן התרשם שהנאשם אינו מתאים לבצע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בתסקיר האחרון</w:t>
      </w:r>
      <w:r>
        <w:rPr>
          <w:rtl w:val="true"/>
        </w:rPr>
        <w:t xml:space="preserve">, </w:t>
      </w:r>
      <w:r>
        <w:rPr>
          <w:rtl w:val="true"/>
        </w:rPr>
        <w:t>שירות המבחן חזר בו מהמלצתו שהוצגה בתסקיר הקודם</w:t>
      </w:r>
      <w:r>
        <w:rPr>
          <w:rtl w:val="true"/>
        </w:rPr>
        <w:t xml:space="preserve">, </w:t>
      </w:r>
      <w:r>
        <w:rPr>
          <w:rtl w:val="true"/>
        </w:rPr>
        <w:t>להטיל עליו צו 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 קביעת גובה הקנס</w:t>
      </w:r>
      <w:r>
        <w:rPr>
          <w:rtl w:val="true"/>
        </w:rPr>
        <w:t xml:space="preserve">, </w:t>
      </w:r>
      <w:r>
        <w:rPr>
          <w:rtl w:val="true"/>
        </w:rPr>
        <w:t xml:space="preserve">לקחתי בחשבון את חומרת העבירות </w:t>
      </w:r>
      <w:r>
        <w:rPr>
          <w:rtl w:val="true"/>
        </w:rPr>
        <w:t>(</w:t>
      </w:r>
      <w:r>
        <w:rPr>
          <w:rtl w:val="true"/>
        </w:rPr>
        <w:t>לרבות סוג הסם וכמות הסם שאותם החזיק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 גם בחשבון גם את העובדה שהינו אב לפעוטה בת שנתיים אשר תומך בה כלכלית ומסייע בגידולה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 מפעיל את המאסר המותנה של חמישה חודשים שהוטל ב</w:t>
      </w:r>
      <w:hyperlink r:id="rId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2415/08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 בית משפט השלום ברמלה מיום </w:t>
      </w:r>
      <w:r>
        <w:rPr/>
        <w:t>6.9.10</w:t>
      </w:r>
      <w:r>
        <w:rPr>
          <w:rtl w:val="true"/>
        </w:rPr>
        <w:t xml:space="preserve">. </w:t>
      </w:r>
      <w:r>
        <w:rPr>
          <w:rtl w:val="true"/>
        </w:rPr>
        <w:t>המאסר ירוצה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נתקבלה חוות דעת מטעם הממונה על עבודות השירות מיום </w:t>
      </w:r>
      <w:r>
        <w:rPr/>
        <w:t>25.7.13</w:t>
      </w:r>
      <w:r>
        <w:rPr>
          <w:rtl w:val="true"/>
        </w:rPr>
        <w:t xml:space="preserve"> </w:t>
      </w:r>
      <w:r>
        <w:rPr>
          <w:rtl w:val="true"/>
        </w:rPr>
        <w:t>ולפיה הנאשם נמצא מתאים לבצע עבודות שירות</w:t>
      </w:r>
      <w:r>
        <w:rPr>
          <w:rtl w:val="true"/>
        </w:rPr>
        <w:t xml:space="preserve">. </w:t>
      </w:r>
      <w:r>
        <w:rPr>
          <w:rtl w:val="true"/>
        </w:rPr>
        <w:t>אומנם המועד לתחילת הריצוי שמופיע בחוות הדעת כבר חלף</w:t>
      </w:r>
      <w:r>
        <w:rPr>
          <w:rtl w:val="true"/>
        </w:rPr>
        <w:t xml:space="preserve">, </w:t>
      </w:r>
      <w:r>
        <w:rPr>
          <w:rtl w:val="true"/>
        </w:rPr>
        <w:t>אך הממונה ישלבו במקום עבודה חדש החל מ</w:t>
      </w:r>
      <w:r>
        <w:rPr>
          <w:rtl w:val="true"/>
        </w:rPr>
        <w:t>-</w:t>
      </w:r>
      <w:r>
        <w:rPr/>
        <w:t>10.1.13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המזכירות תשלח העתק הפרוטוקול לממונה על עבודות השירות על מנת שיודיע לנאשם על מועד תחילת ריצוי עבודות השירות ועל מקום הריצוי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ניתן ליצור קשר עם הנאשם באמצעות טלפפון </w:t>
      </w:r>
      <w:r>
        <w:rPr/>
        <w:t>0509295599</w:t>
      </w:r>
      <w:r>
        <w:rPr>
          <w:rtl w:val="true"/>
        </w:rPr>
        <w:t xml:space="preserve">. </w:t>
      </w:r>
      <w:r>
        <w:rPr>
          <w:rtl w:val="true"/>
        </w:rPr>
        <w:t>הממונה על עבודות השירות ישלח הודעת עדכון לגבי שיבוץ הנאשם בעבודות שירות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לא יבצע עבירת פשע לפי פקודת הסמים המסוכנים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לא יבצע עבירת עוון לפי פקודת הסמים המסוכנים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פסילה בפועל של רישיון הנהיגה ואשר יהיו במצטבר לכל תקופת פסילה שניתנה כנגד הנאשם בתיק אחר</w:t>
      </w:r>
      <w:r>
        <w:rPr>
          <w:rtl w:val="true"/>
        </w:rPr>
        <w:t xml:space="preserve">. </w:t>
      </w:r>
      <w:r>
        <w:rPr>
          <w:rtl w:val="true"/>
        </w:rPr>
        <w:t>לצורך מניין ימי הפסילה</w:t>
      </w:r>
      <w:r>
        <w:rPr>
          <w:rtl w:val="true"/>
        </w:rPr>
        <w:t xml:space="preserve">, </w:t>
      </w:r>
      <w:r>
        <w:rPr>
          <w:rtl w:val="true"/>
        </w:rPr>
        <w:t>על הנאשם לבצע הפקדה של רישיון הנהיגה אם לא הופקד עד 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פסילה על תנאי של רישיון הנהיגה  והתנאי הוא שבמשך 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לא יבצע עבירה מסוג פשע לפי פקודת הסמים המסוכנים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 </w:t>
      </w:r>
      <w:r>
        <w:rPr/>
        <w:t>2500</w:t>
      </w:r>
      <w:r>
        <w:rPr>
          <w:rtl w:val="true"/>
        </w:rPr>
        <w:t xml:space="preserve"> ₪ , </w:t>
      </w:r>
      <w:r>
        <w:rPr>
          <w:rtl w:val="true"/>
        </w:rPr>
        <w:t xml:space="preserve">או 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את סכום הקנס ניתן לקזז מההפקדה הכספית שבתיק </w:t>
      </w:r>
      <w:hyperlink r:id="rId6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ת </w:t>
        </w:r>
        <w:r>
          <w:rPr>
            <w:rStyle w:val="Hyperlink"/>
          </w:rPr>
          <w:t>24053-12-11</w:t>
        </w:r>
      </w:hyperlink>
      <w:r>
        <w:rPr>
          <w:rtl w:val="true"/>
        </w:rPr>
        <w:t xml:space="preserve">. </w:t>
      </w:r>
      <w:r>
        <w:rPr>
          <w:rtl w:val="true"/>
        </w:rPr>
        <w:t>היתרה תוחזר לידי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11/12/2013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הישאם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אבו שחאדה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9" w:name="_GoBack"/>
      <w:r>
        <w:rPr>
          <w:rtl w:val="true"/>
        </w:rPr>
        <w:t xml:space="preserve"> </w:t>
      </w:r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24068-12-11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אברהם שמייב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inks/psika/?NEWPROC=&#1514;&#1508;&amp;NEWPARTA=35095&amp;NEWPARTB=05&amp;NEWPARTC=12" TargetMode="External"/><Relationship Id="rId4" Type="http://schemas.openxmlformats.org/officeDocument/2006/relationships/hyperlink" Target="http://www.nevo.co.il/links/psika/?link=&#1514;&#1508;%202415/08" TargetMode="External"/><Relationship Id="rId5" Type="http://schemas.openxmlformats.org/officeDocument/2006/relationships/hyperlink" Target="http://www.nevo.co.il/links/psika/?link=&#1514;&#1508;%202415/08" TargetMode="External"/><Relationship Id="rId6" Type="http://schemas.openxmlformats.org/officeDocument/2006/relationships/hyperlink" Target="http://www.nevo.co.il/links/psika/?NEWPROC=&#1502;&#1514;&amp;NEWPARTA=24053&amp;NEWPARTB=12&amp;NEWPARTC=11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2013-12-16T12:29:00Z</dcterms:created>
  <dc:creator> </dc:creator>
  <dc:description/>
  <cp:keywords/>
  <dc:language>en-IL</dc:language>
  <cp:lastModifiedBy>hofit</cp:lastModifiedBy>
  <dcterms:modified xsi:type="dcterms:W3CDTF">2013-12-16T12:29:00Z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אברהם שמייב</vt:lpwstr>
  </property>
  <property fmtid="{D5CDD505-2E9C-101B-9397-08002B2CF9AE}" pid="4" name="CITY">
    <vt:lpwstr>רמ'</vt:lpwstr>
  </property>
  <property fmtid="{D5CDD505-2E9C-101B-9397-08002B2CF9AE}" pid="5" name="DATE">
    <vt:lpwstr>20131211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REFLISTTMP1">
    <vt:lpwstr/>
  </property>
  <property fmtid="{D5CDD505-2E9C-101B-9397-08002B2CF9AE}" pid="9" name="LAWYER">
    <vt:lpwstr>אביטל פורטנוי;גדי ציון</vt:lpwstr>
  </property>
  <property fmtid="{D5CDD505-2E9C-101B-9397-08002B2CF9AE}" pid="10" name="NEWPARTA">
    <vt:lpwstr>24068</vt:lpwstr>
  </property>
  <property fmtid="{D5CDD505-2E9C-101B-9397-08002B2CF9AE}" pid="11" name="NEWPARTB">
    <vt:lpwstr>12</vt:lpwstr>
  </property>
  <property fmtid="{D5CDD505-2E9C-101B-9397-08002B2CF9AE}" pid="12" name="NEWPARTC">
    <vt:lpwstr>11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380020131211</vt:lpwstr>
  </property>
  <property fmtid="{D5CDD505-2E9C-101B-9397-08002B2CF9AE}" pid="17" name="TYPE_N_DATE">
    <vt:lpwstr>38020131211</vt:lpwstr>
  </property>
  <property fmtid="{D5CDD505-2E9C-101B-9397-08002B2CF9AE}" pid="18" name="WORDNUMPAGES">
    <vt:lpwstr>3</vt:lpwstr>
  </property>
</Properties>
</file>