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24246-02-18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נתן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נועם אלימלך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משה בן נתן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יפתח רפאלי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כנגד הנאשם הוגש כתב אישום מתוקן אשר מייחס לו ביצוע עבירה של איומים לפי </w:t>
      </w:r>
      <w:hyperlink r:id="rId4">
        <w:bookmarkStart w:id="9" w:name="Seif2"/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bookmarkEnd w:id="9"/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הודה בעובדות כתב האישום המתוקן והורשע בביצוע העבירה האמורה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5.9.17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שהנאשם היה נתון במשמורת חוקית בכלא איילון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ספירת האסירים באגף ולאחר שהתבקש לנתק את הטלפון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 לסוהר סולו מושאילו אשר שימש סמל אגף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i/>
          <w:i/>
          <w:iCs/>
          <w:rtl w:val="true"/>
        </w:rPr>
        <w:t>לא שרמוטה שלו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שהסוהר סולו מושאילו ניסה לנתק לנאשם את הטלפון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האחרון החל להשתולל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לאיים על הסוהרים לירון ביטון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קטיה מטצקי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וסמו באיכנגלו אשר הגיעו לסייע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באומרו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i/>
          <w:i/>
          <w:iCs/>
          <w:rtl w:val="true"/>
        </w:rPr>
        <w:t>אני אדפוק לכם כדור בראש</w:t>
      </w:r>
      <w:r>
        <w:rPr>
          <w:rFonts w:cs="Arial" w:ascii="Arial" w:hAnsi="Arial"/>
          <w:rtl w:val="true"/>
        </w:rPr>
        <w:t>", "</w:t>
      </w:r>
      <w:r>
        <w:rPr>
          <w:rFonts w:ascii="Arial" w:hAnsi="Arial" w:cs="Arial"/>
          <w:i/>
          <w:i/>
          <w:iCs/>
          <w:rtl w:val="true"/>
        </w:rPr>
        <w:t>אשים לכם מטען מתחת לרכב</w:t>
      </w:r>
      <w:r>
        <w:rPr>
          <w:rFonts w:cs="Arial" w:ascii="Arial" w:hAnsi="Arial"/>
          <w:rtl w:val="true"/>
        </w:rPr>
        <w:t>", "</w:t>
      </w:r>
      <w:r>
        <w:rPr>
          <w:rFonts w:ascii="Arial" w:hAnsi="Arial" w:cs="Arial"/>
          <w:i/>
          <w:i/>
          <w:iCs/>
          <w:rtl w:val="true"/>
        </w:rPr>
        <w:t>אני אפגע לכם במשפחות</w:t>
      </w:r>
      <w:r>
        <w:rPr>
          <w:rFonts w:cs="Arial" w:ascii="Arial" w:hAnsi="Arial"/>
          <w:rtl w:val="true"/>
        </w:rPr>
        <w:t>", "</w:t>
      </w:r>
      <w:r>
        <w:rPr>
          <w:rFonts w:ascii="Arial" w:hAnsi="Arial" w:cs="Arial"/>
          <w:i/>
          <w:i/>
          <w:iCs/>
          <w:rtl w:val="true"/>
        </w:rPr>
        <w:t>אני ארצח אותך ואת המשפחה שלך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להלן עיקריו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כיום 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לחמישה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ילד אחד בן שמונה שאין לו עמו קשר מבת זוג 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ארבעה ילדים מאשתו כיום והם בטווח הגילאים בין שנה ועד שש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עובד בחנות לכלים חד פעמיים שבבעלות דודו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אשתו כיום עקרת בית ועול פרנסת המשפחה רובץ כולו על כתפיו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התרשם שהנאשם משתמש באופן תדיר בסם מסוכן מסוג קנבוס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התבקש למסור בדיקות שתן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סירב ולא הגיע במועדים שנקבעו לעריכת הבדיקות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ניתק קשר עם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שירות המבחן התרשם שהנאשם לאורך שנים רבות ניהל אורח חיים 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שעולה גם מתוך גיליון הרישום הפלילי שלו שכולל מספר הרשעות בעבירות אלימות וריצה מספר עונשי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 בעניינו וגם לא המליץ על הארכת המאסר המותנה של שלושה חודשים שתלוי ועומד כנגדו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באת כוח המאשימה הגישה את גיליון הרישום הפלילי של הנאשם ואשר כולל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ו</w:t>
      </w:r>
      <w:bookmarkStart w:id="11" w:name="Seif3"/>
      <w:r>
        <w:rPr>
          <w:rFonts w:ascii="Arial" w:hAnsi="Arial" w:cs="Arial"/>
          <w:rtl w:val="true"/>
        </w:rPr>
        <w:t xml:space="preserve">חלק ניכר </w:t>
      </w:r>
      <w:bookmarkEnd w:id="11"/>
      <w:r>
        <w:rPr>
          <w:rFonts w:ascii="Arial" w:hAnsi="Arial" w:cs="Arial"/>
          <w:rtl w:val="true"/>
        </w:rPr>
        <w:t>מהן בעבירות אלימות שבגינן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ריצה עונשי מאסר בפועל ממושכים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של הנאשם מאסר על תנאי של שלושה חודשים שהוא בר הפעלה במקרה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שיש להחמיר בעבירות של איומים כלפי סוהרים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למען הרתעת היחיד והכלל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שמדובר בעבירות שיש בהן כדי לשבש את העבודה התקינה של שירות בתי הסוהר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ההגנה העידה אשתו של הנאשם ולטענתה הנאשם עושה מאמצים רבים להתנתק מהסביבה העבריינית שבה גדל והתרועע במשך שנים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היום הוא איש משפחה מסור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בצורה סדורה ושניהם עברו להתגורר בבת 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רצון להתנתק מהסביבה העבריינית של העיר רמלה שבה גדל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ההגנה הגישה העתק של תלושי השכר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וטענה שיש להקל בעונשו וזאת למען משפחתו וילדיו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שיש להאריך את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לחילופין להפעיל את המאסר המותנה של שלושה חודשים שירוצו בדרך של עבודות שירות ולא להשית עליו עונש נוסף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בדבריו האחרונים בטרם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הביע חרטה על מעשיו וביקש להקל בעונשו למען ילדיו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העובדה שלטענתו כיום הוא נמצא במסלול חיים נורמטיבי ששונה לחלוטין ממסלול חייו הקודם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לגבי מדיניות הענישה הנוהגת בעבירות של איומים כלפי סוהרים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פנה לפסיקה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סימנדויב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24.8.17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הורשע בארבע עבירות של איומים כלפי סוהרים בארבעה מועדים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שמתחם העונש ההולם למכלול העבירות שבהן הורשע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מאסר בפועל שתחילתו במספר חודשים 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על המבקש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4902/14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הורשע בבית משפט השלום בתל אביב בביצוע עבירות של איומים והעלבת עובד ציבור כאשר האיומים והעלבונות כוונו כלפי סוהרים בעת שהיה עצור בבית 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הורה על קבלת תסקיר מטעם שירות המבחן והאחרון לא בא בהמלצה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החל בהליך טיפולי עם שירות המבחן אך הליך זה הופסק ונפתח לו תיק נוסף בגין 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למבקש היה רישום פלילי קודם בעבירות אלימות וכן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המאסר על תנאי הופעל והושתו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בחופף וחלקם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הושתו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התקבל באופן חלקי כך שסך תקופת המאסר בפועל שעליו לרצות </w:t>
      </w:r>
      <w:r>
        <w:rPr>
          <w:rFonts w:ascii="David" w:hAnsi="David"/>
          <w:u w:val="single"/>
          <w:rtl w:val="true"/>
        </w:rPr>
        <w:t>הופחתה לחמישה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בקשתו להארכת המאסר המותנה נדחתה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שבה הורשע הנאש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בתיק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 בין מספר חודשי מאסר בפועל</w:t>
      </w:r>
      <w:r>
        <w:rPr>
          <w:rFonts w:ascii="David" w:hAnsi="David"/>
          <w:rtl w:val="true"/>
        </w:rPr>
        <w:t xml:space="preserve"> שיכול וירוצו בעבודות שירות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לקחתי 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 xml:space="preserve">עברו הפלילי של הנאשם שכולל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בעבירות אלימות שבגינן ריצה עונשי מאסר ממושכים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כל הנתונים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הודאה וחיסכון בזמן שיפוטי והחיסכון מהסוהרים להגיע לבית המשפט להעיד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עובדת היותו נשוי ולו ארבעה ילדים מאשתו הנוכחית שפרנסתם עליו וההשלכות של העונש על המשך תפקודו התעסוקתי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התרשמתי שיש מקום להאריך את המאסר המותנה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מתקיימות נסיבות מיוחדות או שיקולים של צדק שיצדיקו את הארכת המאסר המותנה וזאת לא כל שכן לאור עברו המכביד בעבירות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מפעיל את המאסר המותנה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עליו 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35356-05-12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בית משפט השלום ברמלה מיום </w:t>
      </w:r>
      <w:r>
        <w:rPr>
          <w:rFonts w:cs="Arial" w:ascii="Arial" w:hAnsi="Arial"/>
        </w:rPr>
        <w:t>22.3.15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במצטבר לעונש המאסר שהושת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ירצה הנאשם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שירוצו בעבודות שירות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יבצע את עבודות השירות במקום עליו הורה הממונה על עבודות השירות ועל פי סך הימים והשעות שנקבעו על ידו והחל מהיום שנקבע על 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יבצע עבירת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פיצוי לכל אחד מהסוהרים שהם עדי התביעה </w:t>
      </w:r>
      <w:r>
        <w:rPr>
          <w:rFonts w:cs="Arial" w:ascii="Arial" w:hAnsi="Arial"/>
        </w:rPr>
        <w:t>4,3,2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1.7.22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1.8.22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24246-02-18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בן נתן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2791002" TargetMode="External"/><Relationship Id="rId7" Type="http://schemas.openxmlformats.org/officeDocument/2006/relationships/hyperlink" Target="http://www.nevo.co.il/case/17045935" TargetMode="External"/><Relationship Id="rId8" Type="http://schemas.openxmlformats.org/officeDocument/2006/relationships/hyperlink" Target="http://www.nevo.co.il/case/4940588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2023-03-20T11:27:00Z</dcterms:created>
  <dc:creator> </dc:creator>
  <dc:description/>
  <cp:keywords/>
  <dc:language>en-IL</dc:language>
  <cp:lastModifiedBy>h1</cp:lastModifiedBy>
  <dcterms:modified xsi:type="dcterms:W3CDTF">2023-03-20T11:27:00Z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בן נתן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22791002;17045935;4940588</vt:lpwstr>
  </property>
  <property fmtid="{D5CDD505-2E9C-101B-9397-08002B2CF9AE}" pid="9" name="CITY">
    <vt:lpwstr>רמ'</vt:lpwstr>
  </property>
  <property fmtid="{D5CDD505-2E9C-101B-9397-08002B2CF9AE}" pid="10" name="DATE">
    <vt:lpwstr>20220531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</vt:lpwstr>
  </property>
  <property fmtid="{D5CDD505-2E9C-101B-9397-08002B2CF9AE}" pid="15" name="LAWYER">
    <vt:lpwstr>נועם אלימלך;יפתח רפאלי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24246</vt:lpwstr>
  </property>
  <property fmtid="{D5CDD505-2E9C-101B-9397-08002B2CF9AE}" pid="22" name="NEWPARTB">
    <vt:lpwstr>02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380020220531</vt:lpwstr>
  </property>
  <property fmtid="{D5CDD505-2E9C-101B-9397-08002B2CF9AE}" pid="34" name="TYPE_N_DATE">
    <vt:lpwstr>38020220531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