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ית משפט השלום בירושלים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24302-05-16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זאהדה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5040"/>
        <w:gridCol w:w="2835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לומפ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50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504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שהם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אהרון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למברגר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מתמחה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04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זאהדה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04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מחמוד</w:t>
            </w:r>
          </w:p>
        </w:tc>
        <w:tc>
          <w:tcPr>
            <w:tcW w:w="2835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4" w:name="LawTable"/>
            <w:bookmarkStart w:id="5" w:name="PsakDin"/>
            <w:bookmarkStart w:id="6" w:name="LawTable"/>
            <w:bookmarkStart w:id="7" w:name="PsakDin"/>
            <w:bookmarkEnd w:id="6"/>
            <w:bookmarkEnd w:id="7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8" w:name="LawTable_End"/>
            <w:bookmarkStart w:id="9" w:name="LawTable_End"/>
            <w:bookmarkEnd w:id="9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firstLine="42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רקע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/>
      </w:pP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אשהב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תבור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אשהב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שיאתרו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tl w:val="true"/>
        </w:rPr>
        <w:t xml:space="preserve">. </w:t>
      </w:r>
      <w:r>
        <w:rPr>
          <w:rtl w:val="true"/>
        </w:rPr>
        <w:t>כעב</w:t>
      </w:r>
      <w:r>
        <w:rPr>
          <w:rtl w:val="true"/>
        </w:rPr>
        <w:t>ו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2.5.16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קלנדיה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קלנדיה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120" w:after="120"/>
        <w:ind w:firstLine="425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האלומיניום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</w:t>
      </w:r>
      <w:r>
        <w:rPr>
          <w:rFonts w:ascii="Calibri" w:hAnsi="Calibri" w:cs="Calibri"/>
          <w:rtl w:val="true"/>
        </w:rPr>
        <w:t>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בן ל</w:t>
      </w:r>
      <w:r>
        <w:rPr>
          <w:rFonts w:ascii="Calibri" w:hAnsi="Calibri" w:cs="Calibri"/>
          <w:rtl w:val="true"/>
        </w:rPr>
        <w:t>משפח</w:t>
      </w:r>
      <w:r>
        <w:rPr>
          <w:rFonts w:ascii="Calibri" w:hAnsi="Calibri" w:cs="Calibri"/>
          <w:rtl w:val="true"/>
        </w:rPr>
        <w:t>ה ה</w:t>
      </w:r>
      <w:r>
        <w:rPr>
          <w:rFonts w:ascii="Calibri" w:hAnsi="Calibri" w:cs="Calibri"/>
          <w:rtl w:val="true"/>
        </w:rPr>
        <w:t>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הבן </w:t>
      </w:r>
      <w:r>
        <w:rPr>
          <w:rFonts w:ascii="Calibri" w:hAnsi="Calibri" w:cs="Calibri"/>
          <w:rtl w:val="true"/>
        </w:rPr>
        <w:t>הבכור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 ששוהה ב</w:t>
      </w:r>
      <w:r>
        <w:rPr>
          <w:rFonts w:ascii="Calibri" w:hAnsi="Calibri" w:cs="Calibri"/>
          <w:rtl w:val="true"/>
        </w:rPr>
        <w:t>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מרגיש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 שנמצא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מרובות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ובעייתית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ה</w:t>
      </w:r>
      <w:r>
        <w:rPr>
          <w:rFonts w:ascii="Calibri" w:hAnsi="Calibri" w:cs="Calibri"/>
          <w:rtl w:val="true"/>
        </w:rPr>
        <w:t>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>יה</w:t>
      </w:r>
      <w:r>
        <w:rPr>
          <w:rFonts w:ascii="Calibri" w:hAnsi="Calibri" w:cs="Calibri"/>
          <w:rtl w:val="true"/>
        </w:rPr>
        <w:t>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טובה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הבעייתית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תמימות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ולהתמודד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סביבתיים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בעייתיים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אינטליגנט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טרם מעצרו ואינו בעל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ובעייתיות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היה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והפחיתו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קצין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425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120" w:after="120"/>
        <w:ind w:start="425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sz w:val="12"/>
          <w:szCs w:val="12"/>
        </w:rPr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 העבירה הן ייחודיות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 ש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בכך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לקלנדיה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את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מראש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 החזיק בנשק לימים ספורים והנשק לא שייך 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מתייחסת למקרים חמורים יותר </w:t>
      </w:r>
      <w:r>
        <w:rPr>
          <w:rFonts w:ascii="Calibri" w:hAnsi="Calibri" w:cs="Calibri"/>
          <w:rtl w:val="true"/>
        </w:rPr>
        <w:t>ואינה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בחיסכון בזמן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rtl w:val="true"/>
        </w:rPr>
        <w:t>כך 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מזה מספר 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425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</w:hyperlink>
      <w:r>
        <w:rPr>
          <w:rFonts w:cs="Calibri" w:ascii="Calibri" w:hAnsi="Calibri"/>
          <w:color w:val="000000"/>
          <w:rtl w:val="true"/>
        </w:rPr>
        <w:t xml:space="preserve"> </w:t>
      </w:r>
      <w:r>
        <w:rPr>
          <w:rFonts w:ascii="Calibri" w:hAnsi="Calibri" w:cs="Calibri"/>
          <w:color w:val="000000"/>
          <w:rtl w:val="true"/>
        </w:rPr>
        <w:t>ב</w:t>
      </w:r>
      <w:r>
        <w:rPr>
          <w:rFonts w:cs="Calibri" w:ascii="Calibri" w:hAnsi="Calibri"/>
          <w:color w:val="000000"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הערכים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החברתיים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  <w:lang w:eastAsia="he-IL"/>
        </w:rPr>
        <w:t>הם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שמירה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שלמות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גופו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ורכושו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אדם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ומניעת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משמעותית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כתוצאה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ידי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שאינו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מיומן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בכך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המשפט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העליון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אחר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פעם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החומרה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הגלומה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בעבירות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נשק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פוטנציאל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הפגיעה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בנפש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וברכוש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שעלולים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להיגרם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כתוצאה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מהשימוש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ט</w:t>
      </w:r>
      <w:r>
        <w:rPr>
          <w:rtl w:val="true"/>
        </w:rPr>
        <w:t>י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Fonts w:ascii="David" w:hAnsi="David"/>
          <w:rtl w:val="true"/>
          <w:lang w:eastAsia="he-IL"/>
        </w:rPr>
        <w:t>כב</w:t>
      </w:r>
      <w:r>
        <w:rPr>
          <w:rFonts w:cs="David" w:ascii="David" w:hAnsi="David"/>
          <w:rtl w:val="true"/>
          <w:lang w:eastAsia="he-IL"/>
        </w:rPr>
        <w:t xml:space="preserve">' </w:t>
      </w:r>
      <w:r>
        <w:rPr>
          <w:rFonts w:ascii="David" w:hAnsi="David"/>
          <w:rtl w:val="true"/>
          <w:lang w:eastAsia="he-IL"/>
        </w:rPr>
        <w:t>השופט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זילברטל</w:t>
      </w:r>
      <w:r>
        <w:rPr>
          <w:rFonts w:ascii="David" w:hAnsi="David"/>
          <w:rtl w:val="true"/>
          <w:lang w:eastAsia="he-IL"/>
        </w:rPr>
        <w:t xml:space="preserve">  </w:t>
      </w:r>
      <w:r>
        <w:rPr>
          <w:rFonts w:ascii="David" w:hAnsi="David"/>
          <w:rtl w:val="true"/>
          <w:lang w:eastAsia="he-IL"/>
        </w:rPr>
        <w:t>חזר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על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כך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ascii="David" w:hAnsi="David"/>
          <w:rtl w:val="true"/>
          <w:lang w:eastAsia="he-IL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eastAsia="he-IL"/>
          </w:rPr>
          <w:t>6989/13</w:t>
        </w:r>
      </w:hyperlink>
      <w:r>
        <w:rPr>
          <w:rFonts w:cs="David" w:ascii="David" w:hAnsi="David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פרח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נ</w:t>
      </w:r>
      <w:r>
        <w:rPr>
          <w:rFonts w:cs="David" w:ascii="David" w:hAnsi="David"/>
          <w:b/>
          <w:bCs/>
          <w:rtl w:val="true"/>
          <w:lang w:eastAsia="he-IL"/>
        </w:rPr>
        <w:t xml:space="preserve">' </w:t>
      </w:r>
      <w:r>
        <w:rPr>
          <w:rFonts w:ascii="David" w:hAnsi="David"/>
          <w:b/>
          <w:b/>
          <w:bCs/>
          <w:rtl w:val="true"/>
          <w:lang w:eastAsia="he-IL"/>
        </w:rPr>
        <w:t>מדינת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rtl w:val="true"/>
          <w:lang w:eastAsia="he-IL"/>
        </w:rPr>
        <w:t>ישראל</w:t>
      </w:r>
      <w:r>
        <w:rPr>
          <w:rFonts w:ascii="David" w:hAnsi="David"/>
          <w:b/>
          <w:b/>
          <w:bCs/>
          <w:rtl w:val="true"/>
          <w:lang w:eastAsia="he-IL"/>
        </w:rPr>
        <w:t xml:space="preserve"> </w:t>
      </w:r>
      <w:r>
        <w:rPr>
          <w:rFonts w:cs="David" w:ascii="David" w:hAnsi="David"/>
          <w:rtl w:val="true"/>
          <w:lang w:eastAsia="he-IL"/>
        </w:rPr>
        <w:t>(</w:t>
      </w:r>
      <w:r>
        <w:rPr>
          <w:rFonts w:ascii="David" w:hAnsi="David"/>
          <w:rtl w:val="true"/>
          <w:lang w:eastAsia="he-IL"/>
        </w:rPr>
        <w:t>מיום</w:t>
      </w:r>
      <w:r>
        <w:rPr>
          <w:rFonts w:ascii="David" w:hAnsi="David"/>
          <w:rtl w:val="true"/>
          <w:lang w:eastAsia="he-IL"/>
        </w:rPr>
        <w:t xml:space="preserve"> </w:t>
      </w:r>
      <w:r>
        <w:rPr>
          <w:rFonts w:cs="David" w:ascii="David" w:hAnsi="David"/>
          <w:lang w:eastAsia="he-IL"/>
        </w:rPr>
        <w:t>25.2.14</w:t>
      </w:r>
      <w:r>
        <w:rPr>
          <w:rFonts w:cs="David" w:ascii="David" w:hAnsi="David"/>
          <w:rtl w:val="true"/>
          <w:lang w:eastAsia="he-IL"/>
        </w:rPr>
        <w:t xml:space="preserve">):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משפט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חזר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הסכנה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הרבה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הטמונה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בעיקר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מסוג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מקימות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פוטנציאל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להסלמה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עבריינית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ויוצרות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סיכון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ממשי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וחמור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לשלום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הציבור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וביטחונו</w:t>
      </w:r>
      <w:r>
        <w:rPr>
          <w:rFonts w:cs="David" w:ascii="David" w:hAnsi="David"/>
          <w:b/>
          <w:bCs/>
          <w:rtl w:val="true"/>
        </w:rPr>
        <w:t>" (</w:t>
      </w:r>
      <w:hyperlink r:id="rId1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3156/11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זראיעה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21.02.2012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בהתאם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הנהוגה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מדיניות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ענישה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המחייבת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בדרך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כלל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הטלת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עונשי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מאסר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לריצוי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בפועל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שזו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הרשעתו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הראשונה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1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2006/12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28.3.2012</w:t>
      </w:r>
      <w:r>
        <w:rPr>
          <w:rFonts w:cs="David" w:ascii="David" w:hAnsi="David"/>
          <w:b/>
          <w:bCs/>
          <w:rtl w:val="true"/>
        </w:rPr>
        <w:t>),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אסדי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1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7502/12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כוויס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25.6.2013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rtl w:val="true"/>
        </w:rPr>
        <w:t>בענייננו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המעשים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שבהם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הורשע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המערער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חמורים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המערער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עשה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שימוש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באקדח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אותו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החזיק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בלב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שכונות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מגורים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ולאחר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שאיים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המתלונן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אמנם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באירוע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הירי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נגרם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נזק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בכך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כדי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להפחית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מחומרת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המעשה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שכן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החומרה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שבעבירות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מתבטאת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במה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שעלול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להתרחש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1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116/13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ועקנין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פסקה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Times New Roman"/>
          <w:b/>
          <w:bCs/>
          <w:rtl w:val="true"/>
        </w:rPr>
        <w:t>‏</w:t>
      </w:r>
      <w:r>
        <w:rPr>
          <w:rFonts w:cs="David" w:ascii="David" w:hAnsi="David"/>
          <w:b/>
          <w:bCs/>
        </w:rPr>
        <w:t>31.7.2013</w:t>
      </w:r>
      <w:r>
        <w:rPr>
          <w:rFonts w:cs="David" w:ascii="David" w:hAnsi="David"/>
          <w:b/>
          <w:bCs/>
          <w:rtl w:val="true"/>
        </w:rPr>
        <w:t>))".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120" w:after="120"/>
        <w:ind w:start="1650" w:end="709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שהוכרה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בפסיקה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כמכת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שפגיעתה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הציבור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הוכח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שימוש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כלשהו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ומכאן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ההצדקה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28659-02-14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 קבעתי מתחם דומה לנדון בענייננו אשר אושר בבית המשפט המחוזי 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4233-09-14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David" w:hAnsi="David"/>
          <w:rtl w:val="true"/>
        </w:rPr>
        <w:t>ראו</w:t>
      </w:r>
      <w:r>
        <w:rPr>
          <w:rFonts w:ascii="David" w:hAnsi="David"/>
          <w:rtl w:val="true"/>
        </w:rPr>
        <w:t xml:space="preserve">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מח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מרכז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לוד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עבד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רחים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17.1.16</w:t>
      </w:r>
      <w:r>
        <w:rPr>
          <w:rFonts w:cs="David" w:ascii="David" w:hAnsi="David"/>
          <w:rtl w:val="true"/>
        </w:rPr>
        <w:t xml:space="preserve">), </w:t>
      </w:r>
      <w:hyperlink r:id="rId18">
        <w:r>
          <w:rPr>
            <w:rStyle w:val="Hyperlink"/>
            <w:rFonts w:cs="David" w:ascii="David" w:hAnsi="David"/>
            <w:color w:val="0000FF"/>
            <w:u w:val="single"/>
          </w:rPr>
          <w:t>49160-11-15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נאסר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10.4.16</w:t>
      </w:r>
      <w:r>
        <w:rPr>
          <w:rFonts w:cs="David" w:ascii="David" w:hAnsi="David"/>
          <w:rtl w:val="true"/>
        </w:rPr>
        <w:t xml:space="preserve">),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7.12.14</w:t>
      </w:r>
      <w:r>
        <w:rPr>
          <w:rFonts w:cs="David" w:ascii="David" w:hAnsi="David"/>
          <w:rtl w:val="true"/>
        </w:rPr>
        <w:t xml:space="preserve">)).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>. (</w:t>
      </w:r>
      <w:r>
        <w:rPr>
          <w:rFonts w:ascii="Calibri" w:hAnsi="Calibri" w:cs="Calibri"/>
          <w:rtl w:val="true"/>
        </w:rPr>
        <w:t>ר</w:t>
      </w:r>
      <w:r>
        <w:rPr>
          <w:rFonts w:cs="Calibri" w:ascii="Calibri" w:hAnsi="Calibri"/>
          <w:rtl w:val="true"/>
        </w:rPr>
        <w:t xml:space="preserve">'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6294/10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אמין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אלקיעאן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13.02.11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רע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דואהרי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25.4.12</w:t>
      </w:r>
      <w:r>
        <w:rPr>
          <w:rFonts w:cs="Calibri" w:ascii="Calibri" w:hAnsi="Calibri"/>
          <w:rtl w:val="true"/>
        </w:rPr>
        <w:t xml:space="preserve">),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3401/11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שלאעטה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מדינת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10.1.12</w:t>
      </w:r>
      <w:r>
        <w:rPr>
          <w:rFonts w:cs="Calibri" w:ascii="Calibri" w:hAnsi="Calibri"/>
          <w:rtl w:val="true"/>
        </w:rPr>
        <w:t xml:space="preserve">),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25.6.13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Calibri" w:hAnsi="Calibri" w:cs="Calibri"/>
        </w:rPr>
      </w:pP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הקשורות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לשיקולים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עובדות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ברשותו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למטרות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עצמית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ביודעין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מבצעים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חיפוש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בקלנדיה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לאתר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נשקו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אשהב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Arial" w:hAnsi="Arial" w:cs="Arial"/>
          <w:rtl w:val="true"/>
        </w:rPr>
        <w:t>או לגרימת נזק היקפי גדול בגוף האדם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 ענינו של הנאשם ממקרה של אחזקת נשק בעל קנה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 או באחזקה של חלקי נשק</w:t>
      </w:r>
      <w:r>
        <w:rPr>
          <w:rFonts w:cs="Arial" w:ascii="Arial" w:hAnsi="Arial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מסר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לכוחות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הביטחון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הנשק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מחסום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קלנדיה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למחסום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קלנדיה</w:t>
      </w:r>
      <w:r>
        <w:rPr>
          <w:rFonts w:cs="Calibri" w:ascii="Calibri" w:hAnsi="Calibri"/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פנה אליו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הנשק אינו שייך לו ובסופו של יום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David" w:hAnsi="David"/>
          <w:rtl w:val="true"/>
        </w:rPr>
        <w:t>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המוגן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מובילה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במדרג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David" w:hAnsi="David" w:cs="David"/>
        </w:rPr>
      </w:pPr>
      <w:r>
        <w:rPr>
          <w:rFonts w:ascii="Calibri" w:hAnsi="Calibri" w:cs="Calibri"/>
          <w:rtl w:val="true"/>
        </w:rPr>
        <w:t>במאמר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אינה דומה </w:t>
      </w:r>
      <w:r>
        <w:rPr>
          <w:rFonts w:ascii="Calibri" w:hAnsi="Calibri" w:cs="Calibri"/>
          <w:rtl w:val="true"/>
        </w:rPr>
        <w:t>לנדון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120" w:after="120"/>
        <w:ind w:start="785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120" w:after="120"/>
        <w:ind w:hanging="360" w:start="785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לתיקון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סבורני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ההולם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נע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firstLine="360" w:end="0"/>
        <w:jc w:val="both"/>
        <w:rPr>
          <w:rFonts w:ascii="David" w:hAnsi="David" w:cs="David"/>
          <w:bCs/>
          <w:u w:val="single"/>
          <w:lang w:eastAsia="he-IL"/>
        </w:rPr>
      </w:pPr>
      <w:r>
        <w:rPr>
          <w:rFonts w:cs="David" w:ascii="David" w:hAnsi="David"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cs="David"/>
          <w:u w:val="single"/>
        </w:rPr>
      </w:pPr>
      <w:r>
        <w:rPr>
          <w:bCs/>
          <w:u w:val="single"/>
          <w:rtl w:val="true"/>
          <w:lang w:eastAsia="he-IL"/>
        </w:rPr>
        <w:t>סוגיית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הסטייה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מהמתחם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>
          <w:b/>
          <w:bCs/>
        </w:rPr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2258/13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30.4.13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>),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במלואה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firstLine="425"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/>
      </w:pPr>
      <w:r>
        <w:rPr>
          <w:rFonts w:ascii="David" w:hAnsi="David"/>
          <w:rtl w:val="true"/>
        </w:rPr>
        <w:t>בגזירת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המתאים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בנסיבות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שאינן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קשורות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בביצוע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במסגרת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זו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b/>
          <w:b/>
          <w:bCs/>
          <w:rtl w:val="true"/>
        </w:rPr>
        <w:t>להכיר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 זו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before="0" w:after="0"/>
        <w:ind w:start="1134" w:end="1134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, </w:t>
      </w:r>
      <w:hyperlink r:id="rId2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5.12.2006</w:t>
      </w:r>
      <w:r>
        <w:rPr>
          <w:b/>
          <w:bCs/>
          <w:rtl w:val="true"/>
        </w:rPr>
        <w:t xml:space="preserve">); </w:t>
      </w:r>
      <w:hyperlink r:id="rId3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2839/05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17.11.2005</w:t>
      </w:r>
      <w:r>
        <w:rPr>
          <w:b/>
          <w:bCs/>
          <w:rtl w:val="true"/>
        </w:rPr>
        <w:t>)).</w:t>
      </w:r>
    </w:p>
    <w:p>
      <w:pPr>
        <w:pStyle w:val="Normal"/>
        <w:spacing w:before="0" w:after="0"/>
        <w:ind w:start="1134" w:end="1134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85" w:end="0"/>
        <w:contextualSpacing/>
        <w:jc w:val="both"/>
        <w:rPr/>
      </w:pP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החלטתי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להטיל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העונשים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כדלהלן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hanging="360" w:start="1980" w:end="0"/>
        <w:contextualSpacing/>
        <w:jc w:val="both"/>
        <w:rPr/>
      </w:pP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028 Extrabold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24302-05-16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זאהדה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85" w:hanging="360"/>
      </w:pPr>
      <w:rPr>
        <w:sz w:val="24"/>
        <w:b w:val="false"/>
        <w:szCs w:val="24"/>
        <w:bCs w:val="false"/>
        <w:rFonts w:cs="Times New Roman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>
      <w:rFonts w:ascii="A028 Extrabold;Times New Roman" w:hAnsi="A028 Extrabold;Times New Roman" w:cs="David"/>
    </w:rPr>
  </w:style>
  <w:style w:type="character" w:styleId="WW8Num2z2">
    <w:name w:val="WW8Num2z2"/>
    <w:qFormat/>
    <w:rPr>
      <w:rFonts w:cs="Times New Roman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cs="Times New Roman"/>
      <w:b w:val="false"/>
      <w:bCs w:val="false"/>
      <w:sz w:val="24"/>
      <w:szCs w:val="24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8291683" TargetMode="External"/><Relationship Id="rId11" Type="http://schemas.openxmlformats.org/officeDocument/2006/relationships/hyperlink" Target="http://www.nevo.co.il/case/5878682" TargetMode="External"/><Relationship Id="rId12" Type="http://schemas.openxmlformats.org/officeDocument/2006/relationships/hyperlink" Target="http://www.nevo.co.il/case/5578534" TargetMode="External"/><Relationship Id="rId13" Type="http://schemas.openxmlformats.org/officeDocument/2006/relationships/hyperlink" Target="http://www.nevo.co.il/case/5601503" TargetMode="External"/><Relationship Id="rId14" Type="http://schemas.openxmlformats.org/officeDocument/2006/relationships/hyperlink" Target="http://www.nevo.co.il/case/5568354" TargetMode="External"/><Relationship Id="rId15" Type="http://schemas.openxmlformats.org/officeDocument/2006/relationships/hyperlink" Target="http://www.nevo.co.il/case/11320144" TargetMode="External"/><Relationship Id="rId16" Type="http://schemas.openxmlformats.org/officeDocument/2006/relationships/hyperlink" Target="http://www.nevo.co.il/case/17997596" TargetMode="External"/><Relationship Id="rId17" Type="http://schemas.openxmlformats.org/officeDocument/2006/relationships/hyperlink" Target="http://www.nevo.co.il/case/20723375" TargetMode="External"/><Relationship Id="rId18" Type="http://schemas.openxmlformats.org/officeDocument/2006/relationships/hyperlink" Target="http://www.nevo.co.il/case/20745111" TargetMode="External"/><Relationship Id="rId19" Type="http://schemas.openxmlformats.org/officeDocument/2006/relationships/hyperlink" Target="http://www.nevo.co.il/case/18086234" TargetMode="External"/><Relationship Id="rId20" Type="http://schemas.openxmlformats.org/officeDocument/2006/relationships/hyperlink" Target="http://www.nevo.co.il/case/6058757" TargetMode="External"/><Relationship Id="rId21" Type="http://schemas.openxmlformats.org/officeDocument/2006/relationships/hyperlink" Target="http://www.nevo.co.il/case/5893982" TargetMode="External"/><Relationship Id="rId22" Type="http://schemas.openxmlformats.org/officeDocument/2006/relationships/hyperlink" Target="http://www.nevo.co.il/case/5601503" TargetMode="External"/><Relationship Id="rId23" Type="http://schemas.openxmlformats.org/officeDocument/2006/relationships/hyperlink" Target="http://www.nevo.co.il/law/70301/40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6856471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case/5601503" TargetMode="External"/><Relationship Id="rId28" Type="http://schemas.openxmlformats.org/officeDocument/2006/relationships/hyperlink" Target="http://www.nevo.co.il/case/5852404" TargetMode="External"/><Relationship Id="rId29" Type="http://schemas.openxmlformats.org/officeDocument/2006/relationships/hyperlink" Target="http://www.nevo.co.il/case/6072945" TargetMode="External"/><Relationship Id="rId30" Type="http://schemas.openxmlformats.org/officeDocument/2006/relationships/hyperlink" Target="http://www.nevo.co.il/case/5859902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2017-10-03T09:16:00Z</dcterms:created>
  <dc:creator> </dc:creator>
  <dc:description/>
  <cp:keywords/>
  <dc:language>en-IL</dc:language>
  <cp:lastModifiedBy>run</cp:lastModifiedBy>
  <dcterms:modified xsi:type="dcterms:W3CDTF">2017-10-03T09:16:00Z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זאהדה</vt:lpwstr>
  </property>
  <property fmtid="{D5CDD505-2E9C-101B-9397-08002B2CF9AE}" pid="4" name="CASESLISTTMP1">
    <vt:lpwstr>8291683;5878682;5578534;5601503:3;5568354;11320144;17997596;20723375;20745111;18086234;6058757;5893982;6856471;5852404;6072945;5859902</vt:lpwstr>
  </property>
  <property fmtid="{D5CDD505-2E9C-101B-9397-08002B2CF9AE}" pid="5" name="CITY">
    <vt:lpwstr>י-ם</vt:lpwstr>
  </property>
  <property fmtid="{D5CDD505-2E9C-101B-9397-08002B2CF9AE}" pid="6" name="DATE">
    <vt:lpwstr>20161101</vt:lpwstr>
  </property>
  <property fmtid="{D5CDD505-2E9C-101B-9397-08002B2CF9AE}" pid="7" name="ISABSTRACT">
    <vt:lpwstr>Y</vt:lpwstr>
  </property>
  <property fmtid="{D5CDD505-2E9C-101B-9397-08002B2CF9AE}" pid="8" name="JUDGE">
    <vt:lpwstr>חנה מרים לומפ</vt:lpwstr>
  </property>
  <property fmtid="{D5CDD505-2E9C-101B-9397-08002B2CF9AE}" pid="9" name="LAWLISTTMP1">
    <vt:lpwstr>70301/144.a;040:2;40ja</vt:lpwstr>
  </property>
  <property fmtid="{D5CDD505-2E9C-101B-9397-08002B2CF9AE}" pid="10" name="LAWYER">
    <vt:lpwstr>גלית שהם;מיכל אזולאי ומר אהרון למברגר;מתמחה;מוחמד מחמוד</vt:lpwstr>
  </property>
  <property fmtid="{D5CDD505-2E9C-101B-9397-08002B2CF9AE}" pid="11" name="NEWPARTA">
    <vt:lpwstr>24302</vt:lpwstr>
  </property>
  <property fmtid="{D5CDD505-2E9C-101B-9397-08002B2CF9AE}" pid="12" name="NEWPARTB">
    <vt:lpwstr>05</vt:lpwstr>
  </property>
  <property fmtid="{D5CDD505-2E9C-101B-9397-08002B2CF9AE}" pid="13" name="NEWPARTC">
    <vt:lpwstr>16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380020161101</vt:lpwstr>
  </property>
  <property fmtid="{D5CDD505-2E9C-101B-9397-08002B2CF9AE}" pid="18" name="TYPE_N_DATE">
    <vt:lpwstr>38020161101</vt:lpwstr>
  </property>
  <property fmtid="{D5CDD505-2E9C-101B-9397-08002B2CF9AE}" pid="19" name="WORDNUMPAGES">
    <vt:lpwstr>7</vt:lpwstr>
  </property>
</Properties>
</file>