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932"/>
        <w:gridCol w:w="240"/>
        <w:gridCol w:w="1548"/>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בחיפה</w:t>
            </w:r>
          </w:p>
        </w:tc>
      </w:tr>
      <w:tr>
        <w:trPr>
          <w:trHeight w:val="337" w:hRule="atLeast"/>
        </w:trPr>
        <w:tc>
          <w:tcPr>
            <w:tcW w:w="6932"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24376-12-09</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שלאעטה</w:t>
            </w:r>
            <w:r>
              <w:rPr>
                <w:b/>
                <w:bCs/>
                <w:sz w:val="26"/>
                <w:szCs w:val="26"/>
                <w:rtl w:val="true"/>
              </w:rPr>
              <w:t>(</w:t>
            </w:r>
            <w:r>
              <w:rPr>
                <w:b/>
                <w:b/>
                <w:bCs/>
                <w:sz w:val="26"/>
                <w:sz w:val="26"/>
                <w:szCs w:val="26"/>
                <w:rtl w:val="true"/>
              </w:rPr>
              <w:t>עצ</w:t>
            </w:r>
            <w:r>
              <w:rPr>
                <w:b/>
                <w:b/>
                <w:bCs/>
                <w:sz w:val="26"/>
                <w:sz w:val="26"/>
                <w:szCs w:val="26"/>
                <w:rtl w:val="true"/>
              </w:rPr>
              <w:t>ו</w:t>
            </w:r>
            <w:r>
              <w:rPr>
                <w:b/>
                <w:b/>
                <w:bCs/>
                <w:sz w:val="26"/>
                <w:sz w:val="26"/>
                <w:szCs w:val="26"/>
                <w:rtl w:val="true"/>
              </w:rPr>
              <w:t>ר</w:t>
            </w:r>
            <w:r>
              <w:rPr>
                <w:b/>
                <w:bCs/>
                <w:sz w:val="26"/>
                <w:szCs w:val="26"/>
                <w:rtl w:val="true"/>
              </w:rPr>
              <w:t>)</w:t>
            </w:r>
          </w:p>
          <w:p>
            <w:pPr>
              <w:pStyle w:val="Normal"/>
              <w:ind w:end="0"/>
              <w:jc w:val="start"/>
              <w:rPr>
                <w:b/>
                <w:bCs/>
                <w:sz w:val="26"/>
                <w:szCs w:val="26"/>
              </w:rPr>
            </w:pPr>
            <w:r>
              <w:rPr>
                <w:b/>
                <w:bCs/>
                <w:sz w:val="26"/>
                <w:szCs w:val="26"/>
                <w:rtl w:val="true"/>
              </w:rPr>
            </w:r>
          </w:p>
        </w:tc>
        <w:tc>
          <w:tcPr>
            <w:tcW w:w="240" w:type="dxa"/>
            <w:tcBorders/>
          </w:tcPr>
          <w:p>
            <w:pPr>
              <w:pStyle w:val="Header"/>
              <w:snapToGrid w:val="false"/>
              <w:ind w:end="0"/>
              <w:jc w:val="end"/>
              <w:rPr>
                <w:b/>
                <w:bCs/>
                <w:sz w:val="26"/>
                <w:szCs w:val="26"/>
              </w:rPr>
            </w:pPr>
            <w:r>
              <w:rPr>
                <w:b/>
                <w:bCs/>
                <w:sz w:val="26"/>
                <w:szCs w:val="26"/>
                <w:rtl w:val="true"/>
              </w:rPr>
            </w:r>
          </w:p>
        </w:tc>
        <w:tc>
          <w:tcPr>
            <w:tcW w:w="1548" w:type="dxa"/>
            <w:tcBorders/>
          </w:tcPr>
          <w:p>
            <w:pPr>
              <w:pStyle w:val="Header"/>
              <w:tabs>
                <w:tab w:val="clear" w:pos="720"/>
              </w:tabs>
              <w:ind w:end="0"/>
              <w:jc w:val="end"/>
              <w:rPr>
                <w:b/>
                <w:bCs/>
                <w:sz w:val="26"/>
                <w:szCs w:val="26"/>
              </w:rPr>
            </w:pPr>
            <w:r>
              <w:rPr>
                <w:b/>
                <w:bCs/>
                <w:sz w:val="26"/>
                <w:szCs w:val="26"/>
              </w:rPr>
              <w:t>30</w:t>
            </w:r>
            <w:r>
              <w:rPr>
                <w:b/>
                <w:bCs/>
                <w:sz w:val="26"/>
                <w:szCs w:val="26"/>
                <w:rtl w:val="true"/>
              </w:rPr>
              <w:t xml:space="preserve"> </w:t>
            </w:r>
            <w:r>
              <w:rPr>
                <w:b/>
                <w:b/>
                <w:bCs/>
                <w:sz w:val="26"/>
                <w:sz w:val="26"/>
                <w:szCs w:val="26"/>
                <w:rtl w:val="true"/>
              </w:rPr>
              <w:t xml:space="preserve">יוני </w:t>
            </w:r>
            <w:r>
              <w:rPr>
                <w:b/>
                <w:bCs/>
                <w:sz w:val="26"/>
                <w:szCs w:val="26"/>
              </w:rPr>
              <w:t>2010</w:t>
            </w:r>
          </w:p>
        </w:tc>
      </w:tr>
    </w:tbl>
    <w:p>
      <w:pPr>
        <w:pStyle w:val="Normal"/>
        <w:spacing w:lineRule="auto" w:line="360"/>
        <w:ind w:end="0"/>
        <w:jc w:val="both"/>
        <w:rPr/>
      </w:pPr>
      <w:r>
        <w:rPr>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 אליקים אברהם</w:t>
            </w:r>
          </w:p>
        </w:tc>
      </w:tr>
      <w:tr>
        <w:trPr/>
        <w:tc>
          <w:tcPr>
            <w:tcW w:w="2880" w:type="dxa"/>
            <w:gridSpan w:val="2"/>
            <w:tcBorders/>
            <w:tcMar>
              <w:start w:w="108" w:type="dxa"/>
              <w:end w:w="108" w:type="dxa"/>
            </w:tcMar>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r>
              <w:rPr>
                <w:b/>
                <w:bCs/>
                <w:sz w:val="26"/>
                <w:szCs w:val="26"/>
                <w:rtl w:val="true"/>
              </w:rPr>
              <w:t>:</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6"/>
                <w:szCs w:val="26"/>
              </w:rPr>
            </w:pPr>
            <w:r>
              <w:rPr>
                <w:b/>
                <w:bCs/>
                <w:sz w:val="26"/>
                <w:szCs w:val="26"/>
                <w:rtl w:val="true"/>
              </w:rPr>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cs="Arial" w:ascii="Arial" w:hAnsi="Arial"/>
                <w:b/>
                <w:bCs/>
                <w:sz w:val="26"/>
                <w:szCs w:val="26"/>
                <w:rtl w:val="true"/>
              </w:rPr>
              <w:t xml:space="preserve">- </w:t>
            </w:r>
            <w:r>
              <w:rPr>
                <w:rFonts w:ascii="Arial" w:hAnsi="Arial" w:cs="Arial"/>
                <w:b/>
                <w:b/>
                <w:bCs/>
                <w:sz w:val="26"/>
                <w:sz w:val="26"/>
                <w:szCs w:val="26"/>
                <w:rtl w:val="true"/>
              </w:rPr>
              <w:t>נ</w:t>
            </w:r>
            <w:r>
              <w:rPr>
                <w:rFonts w:ascii="Arial" w:hAnsi="Arial" w:cs="Arial"/>
                <w:b/>
                <w:b/>
                <w:bCs/>
                <w:sz w:val="26"/>
                <w:sz w:val="26"/>
                <w:szCs w:val="26"/>
                <w:rtl w:val="true"/>
              </w:rPr>
              <w:t xml:space="preserve"> </w:t>
            </w:r>
            <w:r>
              <w:rPr>
                <w:rFonts w:ascii="Arial" w:hAnsi="Arial" w:cs="Arial"/>
                <w:b/>
                <w:b/>
                <w:bCs/>
                <w:sz w:val="26"/>
                <w:sz w:val="26"/>
                <w:szCs w:val="26"/>
                <w:rtl w:val="true"/>
              </w:rPr>
              <w:t>ג</w:t>
            </w:r>
            <w:r>
              <w:rPr>
                <w:rFonts w:ascii="Arial" w:hAnsi="Arial" w:cs="Arial"/>
                <w:b/>
                <w:b/>
                <w:bCs/>
                <w:sz w:val="26"/>
                <w:sz w:val="26"/>
                <w:szCs w:val="26"/>
                <w:rtl w:val="true"/>
              </w:rPr>
              <w:t xml:space="preserve"> </w:t>
            </w:r>
            <w:r>
              <w:rPr>
                <w:rFonts w:ascii="Arial" w:hAnsi="Arial" w:cs="Arial"/>
                <w:b/>
                <w:b/>
                <w:bCs/>
                <w:sz w:val="26"/>
                <w:sz w:val="26"/>
                <w:szCs w:val="26"/>
                <w:rtl w:val="true"/>
              </w:rPr>
              <w:t>ד</w:t>
            </w:r>
            <w:r>
              <w:rPr>
                <w:rFonts w:ascii="Arial" w:hAnsi="Arial" w:cs="Arial"/>
                <w:b/>
                <w:b/>
                <w:bCs/>
                <w:sz w:val="26"/>
                <w:sz w:val="26"/>
                <w:szCs w:val="26"/>
                <w:rtl w:val="true"/>
              </w:rPr>
              <w:t xml:space="preserve"> </w:t>
            </w:r>
            <w:r>
              <w:rPr>
                <w:rFonts w:cs="Arial" w:ascii="Arial" w:hAnsi="Arial"/>
                <w:b/>
                <w:bCs/>
                <w:sz w:val="26"/>
                <w:szCs w:val="26"/>
                <w:rtl w:val="true"/>
              </w:rPr>
              <w:t>-</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r>
              <w:rPr>
                <w:b/>
                <w:bCs/>
                <w:sz w:val="26"/>
                <w:szCs w:val="26"/>
                <w:rtl w:val="true"/>
              </w:rPr>
              <w:t>:</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 xml:space="preserve">מוחמד שלאעטה </w:t>
            </w:r>
            <w:r>
              <w:rPr>
                <w:b/>
                <w:bCs/>
                <w:sz w:val="26"/>
                <w:szCs w:val="26"/>
                <w:rtl w:val="true"/>
              </w:rPr>
              <w:t>(</w:t>
            </w:r>
            <w:r>
              <w:rPr>
                <w:b/>
                <w:b/>
                <w:bCs/>
                <w:sz w:val="26"/>
                <w:sz w:val="26"/>
                <w:szCs w:val="26"/>
                <w:rtl w:val="true"/>
              </w:rPr>
              <w:t>עצ</w:t>
            </w:r>
            <w:r>
              <w:rPr>
                <w:b/>
                <w:b/>
                <w:bCs/>
                <w:sz w:val="26"/>
                <w:sz w:val="26"/>
                <w:szCs w:val="26"/>
                <w:rtl w:val="true"/>
              </w:rPr>
              <w:t>ו</w:t>
            </w:r>
            <w:r>
              <w:rPr>
                <w:b/>
                <w:b/>
                <w:bCs/>
                <w:sz w:val="26"/>
                <w:sz w:val="26"/>
                <w:szCs w:val="26"/>
                <w:rtl w:val="true"/>
              </w:rPr>
              <w:t>ר</w:t>
            </w:r>
            <w:r>
              <w:rPr>
                <w:b/>
                <w:bCs/>
                <w:sz w:val="26"/>
                <w:szCs w:val="26"/>
                <w:rtl w:val="true"/>
              </w:rPr>
              <w:t>)</w:t>
            </w:r>
            <w:r>
              <w:rPr>
                <w:b/>
                <w:bCs/>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 xml:space="preserve">ז </w:t>
            </w:r>
            <w:r>
              <w:rPr>
                <w:b/>
                <w:bCs/>
                <w:sz w:val="26"/>
                <w:szCs w:val="26"/>
              </w:rPr>
              <w:t>xxxxxxxxx</w:t>
            </w:r>
          </w:p>
          <w:p>
            <w:pPr>
              <w:pStyle w:val="Normal"/>
              <w:ind w:end="0"/>
              <w:jc w:val="start"/>
              <w:rPr>
                <w:b/>
                <w:bCs/>
                <w:sz w:val="26"/>
                <w:szCs w:val="26"/>
              </w:rPr>
            </w:pPr>
            <w:r>
              <w:rPr>
                <w:b/>
                <w:bCs/>
                <w:sz w:val="26"/>
                <w:szCs w:val="26"/>
                <w:rtl w:val="true"/>
              </w:rPr>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 xml:space="preserve">ד ערן בר אור </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הנאשם</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כנאענה</w:t>
      </w:r>
    </w:p>
    <w:p>
      <w:pPr>
        <w:pStyle w:val="12"/>
        <w:ind w:end="0"/>
        <w:jc w:val="start"/>
        <w:rPr>
          <w:b w:val="false"/>
          <w:bCs w:val="false"/>
          <w:u w:val="none"/>
        </w:rPr>
      </w:pPr>
      <w:r>
        <w:rPr>
          <w:b w:val="false"/>
          <w:b w:val="false"/>
          <w:bCs w:val="false"/>
          <w:u w:val="none"/>
          <w:rtl w:val="true"/>
        </w:rPr>
        <w:t xml:space="preserve">הנאשם באמצעות הליווי </w:t>
      </w:r>
    </w:p>
    <w:p>
      <w:pPr>
        <w:pStyle w:val="12"/>
        <w:ind w:end="0"/>
        <w:jc w:val="start"/>
        <w:rPr>
          <w:b w:val="false"/>
          <w:bCs w:val="false"/>
          <w:u w:val="none"/>
        </w:rPr>
      </w:pPr>
      <w:r>
        <w:rPr>
          <w:b w:val="false"/>
          <w:bCs w:val="false"/>
          <w:u w:val="none"/>
          <w:rtl w:val="true"/>
        </w:rPr>
      </w:r>
    </w:p>
    <w:p>
      <w:pPr>
        <w:pStyle w:val="Normal"/>
        <w:spacing w:lineRule="auto" w:line="360"/>
        <w:ind w:end="0"/>
        <w:jc w:val="start"/>
        <w:rPr>
          <w:rFonts w:ascii="Arial" w:hAnsi="Arial" w:cs="Arial"/>
          <w:b/>
          <w:bCs/>
          <w:sz w:val="28"/>
          <w:szCs w:val="28"/>
          <w:u w:val="none"/>
        </w:rPr>
      </w:pPr>
      <w:r>
        <w:rPr>
          <w:rFonts w:cs="Arial" w:ascii="Arial" w:hAnsi="Arial"/>
          <w:b/>
          <w:bCs/>
          <w:sz w:val="28"/>
          <w:szCs w:val="28"/>
          <w:u w:val="none"/>
          <w:rtl w:val="true"/>
        </w:rPr>
      </w:r>
      <w:bookmarkStart w:id="3" w:name="Links_Start"/>
      <w:bookmarkStart w:id="4" w:name="Links_Start"/>
      <w:bookmarkEnd w:id="4"/>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10-02-2010</w:t>
      </w:r>
      <w:r>
        <w:rPr>
          <w:rFonts w:cs="FrankRuehl" w:ascii="FrankRuehl" w:hAnsi="FrankRuehl"/>
          <w:rtl w:val="true"/>
        </w:rPr>
        <w:t xml:space="preserve">): </w:t>
      </w:r>
      <w:hyperlink r:id="rId2">
        <w:r>
          <w:rPr>
            <w:rStyle w:val="Hyperlink"/>
            <w:rFonts w:ascii="FrankRuehl" w:hAnsi="FrankRuehl" w:cs="FrankRuehl"/>
            <w:rtl w:val="true"/>
          </w:rPr>
          <w:t xml:space="preserve">תפ </w:t>
        </w:r>
        <w:r>
          <w:rPr>
            <w:rStyle w:val="Hyperlink"/>
            <w:rFonts w:cs="FrankRuehl" w:ascii="FrankRuehl" w:hAnsi="FrankRuehl"/>
          </w:rPr>
          <w:t>24376-12-09</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מוחמד שלאעטה</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אליקים אברהם</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גב</w:t>
      </w:r>
      <w:r>
        <w:rPr>
          <w:rFonts w:cs="FrankRuehl" w:ascii="FrankRuehl" w:hAnsi="FrankRuehl"/>
          <w:rtl w:val="true"/>
        </w:rPr>
        <w:t xml:space="preserve">' </w:t>
      </w:r>
      <w:r>
        <w:rPr>
          <w:rFonts w:ascii="FrankRuehl" w:hAnsi="FrankRuehl" w:cs="FrankRuehl"/>
          <w:rtl w:val="true"/>
        </w:rPr>
        <w:t>שרון אייל</w:t>
      </w:r>
      <w:r>
        <w:rPr>
          <w:rFonts w:cs="FrankRuehl" w:ascii="FrankRuehl" w:hAnsi="FrankRuehl"/>
          <w:rtl w:val="true"/>
        </w:rPr>
        <w:t xml:space="preserve">, </w:t>
      </w:r>
      <w:r>
        <w:rPr>
          <w:rFonts w:ascii="FrankRuehl" w:hAnsi="FrankRuehl" w:cs="FrankRuehl"/>
          <w:rtl w:val="true"/>
        </w:rPr>
        <w:t xml:space="preserve">כנעאנה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u w:val="single"/>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24-02-2010</w:t>
      </w:r>
      <w:r>
        <w:rPr>
          <w:rFonts w:cs="FrankRuehl" w:ascii="FrankRuehl" w:hAnsi="FrankRuehl"/>
          <w:rtl w:val="true"/>
        </w:rPr>
        <w:t xml:space="preserve">): </w:t>
      </w:r>
      <w:hyperlink r:id="rId3">
        <w:r>
          <w:rPr>
            <w:rStyle w:val="Hyperlink"/>
            <w:rFonts w:ascii="FrankRuehl" w:hAnsi="FrankRuehl" w:cs="FrankRuehl"/>
            <w:rtl w:val="true"/>
          </w:rPr>
          <w:t xml:space="preserve">תפ </w:t>
        </w:r>
        <w:r>
          <w:rPr>
            <w:rStyle w:val="Hyperlink"/>
            <w:rFonts w:cs="FrankRuehl" w:ascii="FrankRuehl" w:hAnsi="FrankRuehl"/>
          </w:rPr>
          <w:t>24376-12-09</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מוחמד שלאעטה</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אליקים אברהם</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שרון אייל</w:t>
      </w:r>
      <w:r>
        <w:rPr>
          <w:rFonts w:cs="FrankRuehl" w:ascii="FrankRuehl" w:hAnsi="FrankRuehl"/>
          <w:rtl w:val="true"/>
        </w:rPr>
        <w:t xml:space="preserve">, </w:t>
      </w:r>
      <w:r>
        <w:rPr>
          <w:rFonts w:ascii="FrankRuehl" w:hAnsi="FrankRuehl" w:cs="FrankRuehl"/>
          <w:rtl w:val="true"/>
        </w:rPr>
        <w:t xml:space="preserve">כנאענה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16-03-2010</w:t>
      </w:r>
      <w:r>
        <w:rPr>
          <w:rFonts w:cs="FrankRuehl" w:ascii="FrankRuehl" w:hAnsi="FrankRuehl"/>
          <w:rtl w:val="true"/>
        </w:rPr>
        <w:t xml:space="preserve">): </w:t>
      </w:r>
      <w:hyperlink r:id="rId4">
        <w:r>
          <w:rPr>
            <w:rStyle w:val="Hyperlink"/>
            <w:rFonts w:ascii="FrankRuehl" w:hAnsi="FrankRuehl" w:cs="FrankRuehl"/>
            <w:rtl w:val="true"/>
          </w:rPr>
          <w:t xml:space="preserve">תפ </w:t>
        </w:r>
        <w:r>
          <w:rPr>
            <w:rStyle w:val="Hyperlink"/>
            <w:rFonts w:cs="FrankRuehl" w:ascii="FrankRuehl" w:hAnsi="FrankRuehl"/>
          </w:rPr>
          <w:t>24376-12-09</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מוחמד שלאעטה</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אליקים אברהם</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אייל</w:t>
      </w:r>
      <w:r>
        <w:rPr>
          <w:rFonts w:cs="FrankRuehl" w:ascii="FrankRuehl" w:hAnsi="FrankRuehl"/>
          <w:rtl w:val="true"/>
        </w:rPr>
        <w:t xml:space="preserve">, </w:t>
      </w:r>
      <w:r>
        <w:rPr>
          <w:rFonts w:ascii="FrankRuehl" w:hAnsi="FrankRuehl" w:cs="FrankRuehl"/>
          <w:rtl w:val="true"/>
        </w:rPr>
        <w:t xml:space="preserve">כנאענה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rFonts w:ascii="FrankRuehl" w:hAnsi="FrankRuehl" w:cs="FrankRuehl"/>
          <w:u w:val="single"/>
        </w:rPr>
      </w:pPr>
      <w:r>
        <w:rPr>
          <w:rFonts w:ascii="FrankRuehl" w:hAnsi="FrankRuehl" w:cs="FrankRuehl"/>
          <w:rtl w:val="true"/>
        </w:rPr>
        <w:t>להכרעת</w:t>
      </w:r>
      <w:r>
        <w:rPr>
          <w:rFonts w:cs="FrankRuehl" w:ascii="FrankRuehl" w:hAnsi="FrankRuehl"/>
          <w:rtl w:val="true"/>
        </w:rPr>
        <w:t>-</w:t>
      </w:r>
      <w:r>
        <w:rPr>
          <w:rFonts w:ascii="FrankRuehl" w:hAnsi="FrankRuehl" w:cs="FrankRuehl"/>
          <w:rtl w:val="true"/>
        </w:rPr>
        <w:t xml:space="preserve">דין במחוזי </w:t>
      </w:r>
      <w:r>
        <w:rPr>
          <w:rFonts w:cs="FrankRuehl" w:ascii="FrankRuehl" w:hAnsi="FrankRuehl"/>
          <w:rtl w:val="true"/>
        </w:rPr>
        <w:t>(</w:t>
      </w:r>
      <w:r>
        <w:rPr>
          <w:rFonts w:cs="FrankRuehl" w:ascii="FrankRuehl" w:hAnsi="FrankRuehl"/>
        </w:rPr>
        <w:t>03-06-2010</w:t>
      </w:r>
      <w:r>
        <w:rPr>
          <w:rFonts w:cs="FrankRuehl" w:ascii="FrankRuehl" w:hAnsi="FrankRuehl"/>
          <w:rtl w:val="true"/>
        </w:rPr>
        <w:t xml:space="preserve">): </w:t>
      </w:r>
      <w:hyperlink r:id="rId5">
        <w:r>
          <w:rPr>
            <w:rStyle w:val="Hyperlink"/>
            <w:rFonts w:ascii="FrankRuehl" w:hAnsi="FrankRuehl" w:cs="FrankRuehl"/>
            <w:rtl w:val="true"/>
          </w:rPr>
          <w:t xml:space="preserve">תפ </w:t>
        </w:r>
        <w:r>
          <w:rPr>
            <w:rStyle w:val="Hyperlink"/>
            <w:rFonts w:cs="FrankRuehl" w:ascii="FrankRuehl" w:hAnsi="FrankRuehl"/>
          </w:rPr>
          <w:t>24376-12-09</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מוחמד שלאעטה</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אליקים אברהם</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עינב איטסקו</w:t>
      </w:r>
      <w:r>
        <w:rPr>
          <w:rFonts w:cs="FrankRuehl" w:ascii="FrankRuehl" w:hAnsi="FrankRuehl"/>
          <w:rtl w:val="true"/>
        </w:rPr>
        <w:t xml:space="preserve">, </w:t>
      </w:r>
      <w:r>
        <w:rPr>
          <w:rFonts w:ascii="FrankRuehl" w:hAnsi="FrankRuehl" w:cs="FrankRuehl"/>
          <w:rtl w:val="true"/>
        </w:rPr>
        <w:t xml:space="preserve">כנאענה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בעליון </w:t>
      </w:r>
      <w:r>
        <w:rPr>
          <w:rFonts w:cs="FrankRuehl" w:ascii="FrankRuehl" w:hAnsi="FrankRuehl"/>
          <w:rtl w:val="true"/>
        </w:rPr>
        <w:t>(</w:t>
      </w:r>
      <w:r>
        <w:rPr>
          <w:rFonts w:cs="FrankRuehl" w:ascii="FrankRuehl" w:hAnsi="FrankRuehl"/>
        </w:rPr>
        <w:t>26-09-2011</w:t>
      </w:r>
      <w:r>
        <w:rPr>
          <w:rFonts w:cs="FrankRuehl" w:ascii="FrankRuehl" w:hAnsi="FrankRuehl"/>
          <w:rtl w:val="true"/>
        </w:rPr>
        <w:t xml:space="preserve">): </w:t>
      </w:r>
      <w:hyperlink r:id="rId6">
        <w:r>
          <w:rPr>
            <w:rStyle w:val="Hyperlink"/>
            <w:rFonts w:ascii="FrankRuehl" w:hAnsi="FrankRuehl" w:cs="FrankRuehl"/>
            <w:rtl w:val="true"/>
          </w:rPr>
          <w:t xml:space="preserve">עפ </w:t>
        </w:r>
        <w:r>
          <w:rPr>
            <w:rStyle w:val="Hyperlink"/>
            <w:rFonts w:cs="FrankRuehl" w:ascii="FrankRuehl" w:hAnsi="FrankRuehl"/>
          </w:rPr>
          <w:t>6022/10</w:t>
        </w:r>
      </w:hyperlink>
      <w:r>
        <w:rPr>
          <w:rFonts w:cs="FrankRuehl" w:ascii="FrankRuehl" w:hAnsi="FrankRuehl"/>
          <w:color w:val="000000"/>
          <w:rtl w:val="true"/>
        </w:rPr>
        <w:t xml:space="preserve"> </w:t>
      </w:r>
      <w:r>
        <w:rPr>
          <w:rFonts w:ascii="FrankRuehl" w:hAnsi="FrankRuehl" w:cs="FrankRuehl"/>
          <w:color w:val="000000"/>
          <w:rtl w:val="true"/>
        </w:rPr>
        <w:t>מוחמד שלעאטה נ</w:t>
      </w:r>
      <w:r>
        <w:rPr>
          <w:rFonts w:cs="FrankRuehl" w:ascii="FrankRuehl" w:hAnsi="FrankRuehl"/>
          <w:color w:val="000000"/>
          <w:rtl w:val="true"/>
        </w:rPr>
        <w:t xml:space="preserve">' </w:t>
      </w:r>
      <w:r>
        <w:rPr>
          <w:rFonts w:ascii="FrankRuehl" w:hAnsi="FrankRuehl" w:cs="FrankRuehl"/>
          <w:color w:val="000000"/>
          <w:rtl w:val="true"/>
        </w:rPr>
        <w:t>מדינת ישראל</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גיא שני</w:t>
      </w:r>
    </w:p>
    <w:p>
      <w:pPr>
        <w:pStyle w:val="Normal"/>
        <w:spacing w:lineRule="auto" w:line="360"/>
        <w:ind w:end="0"/>
        <w:jc w:val="start"/>
        <w:rPr>
          <w:rFonts w:ascii="Arial" w:hAnsi="Arial" w:eastAsia="Arial" w:cs="Arial"/>
          <w:sz w:val="28"/>
          <w:szCs w:val="28"/>
        </w:rPr>
      </w:pPr>
      <w:bookmarkStart w:id="5" w:name="Links_End"/>
      <w:bookmarkEnd w:id="5"/>
      <w:r>
        <w:rPr>
          <w:rFonts w:eastAsia="Arial" w:cs="Arial" w:ascii="Arial" w:hAnsi="Arial"/>
          <w:sz w:val="28"/>
          <w:szCs w:val="28"/>
          <w:rtl w:val="true"/>
        </w:rPr>
        <w:t xml:space="preserve">  </w:t>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bookmarkStart w:id="6" w:name="Links_Start"/>
      <w:bookmarkStart w:id="7" w:name="LawTable"/>
      <w:bookmarkStart w:id="8" w:name="Links_Start"/>
      <w:bookmarkStart w:id="9" w:name="LawTable"/>
      <w:bookmarkEnd w:id="8"/>
      <w:bookmarkEnd w:id="9"/>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7">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10" w:name="LawTable_End"/>
      <w:bookmarkStart w:id="11" w:name="LawTable_End"/>
      <w:bookmarkEnd w:id="11"/>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12" w:name="PsakDin"/>
      <w:bookmarkEnd w:id="12"/>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13" w:name="PsakDin"/>
      <w:bookmarkStart w:id="14" w:name="PsakDin"/>
      <w:bookmarkEnd w:id="14"/>
    </w:p>
    <w:p>
      <w:pPr>
        <w:pStyle w:val="Normal"/>
        <w:spacing w:lineRule="auto" w:line="360"/>
        <w:ind w:firstLine="360" w:start="360" w:end="0"/>
        <w:jc w:val="both"/>
        <w:rPr>
          <w:u w:val="single"/>
        </w:rPr>
      </w:pPr>
      <w:r>
        <w:rPr>
          <w:u w:val="single"/>
          <w:rtl w:val="true"/>
        </w:rPr>
        <w:t>מבוא</w:t>
      </w:r>
    </w:p>
    <w:p>
      <w:pPr>
        <w:pStyle w:val="Normal"/>
        <w:numPr>
          <w:ilvl w:val="0"/>
          <w:numId w:val="1"/>
        </w:numPr>
        <w:spacing w:lineRule="auto" w:line="360"/>
        <w:ind w:hanging="360" w:start="720" w:end="0"/>
        <w:jc w:val="both"/>
        <w:rPr/>
      </w:pPr>
      <w:bookmarkStart w:id="15" w:name="ABSTRACT_START"/>
      <w:bookmarkEnd w:id="15"/>
      <w:r>
        <w:rPr>
          <w:rtl w:val="true"/>
        </w:rPr>
        <w:t>הנאשם הורשע לאחר שמיעת ראיות בשתי עבירות של החזקה ונשיאת נשק</w:t>
      </w:r>
      <w:r>
        <w:rPr>
          <w:rtl w:val="true"/>
        </w:rPr>
        <w:t>-</w:t>
      </w:r>
      <w:r>
        <w:rPr>
          <w:rtl w:val="true"/>
        </w:rPr>
        <w:t xml:space="preserve">עבירה לפי סעיף </w:t>
      </w:r>
      <w:r>
        <w:rPr/>
        <w:t>144</w:t>
      </w:r>
      <w:r>
        <w:rPr>
          <w:rtl w:val="true"/>
        </w:rPr>
        <w:t>(</w:t>
      </w:r>
      <w:r>
        <w:rPr>
          <w:rtl w:val="true"/>
        </w:rPr>
        <w:t>א</w:t>
      </w:r>
      <w:r>
        <w:rPr>
          <w:rtl w:val="true"/>
        </w:rPr>
        <w:t>)(</w:t>
      </w:r>
      <w:r>
        <w:rPr>
          <w:rtl w:val="true"/>
        </w:rPr>
        <w:t>ב</w:t>
      </w:r>
      <w:r>
        <w:rPr>
          <w:rtl w:val="true"/>
        </w:rPr>
        <w:t xml:space="preserve">) </w:t>
      </w:r>
      <w:r>
        <w:rPr>
          <w:rtl w:val="true"/>
        </w:rPr>
        <w:t>ל</w:t>
      </w:r>
      <w:hyperlink r:id="rId8">
        <w:r>
          <w:rPr>
            <w:rStyle w:val="Hyperlink"/>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חבלה בכוונה מחמירה</w:t>
      </w:r>
      <w:r>
        <w:rPr>
          <w:rtl w:val="true"/>
        </w:rPr>
        <w:t xml:space="preserve">- </w:t>
      </w:r>
      <w:r>
        <w:rPr>
          <w:rtl w:val="true"/>
        </w:rPr>
        <w:t xml:space="preserve">עבירה לפי סעיף </w:t>
      </w:r>
      <w:r>
        <w:rPr/>
        <w:t>329</w:t>
      </w:r>
      <w:r>
        <w:rPr>
          <w:rtl w:val="true"/>
        </w:rPr>
        <w:t>(</w:t>
      </w:r>
      <w:r>
        <w:rPr>
          <w:rtl w:val="true"/>
        </w:rPr>
        <w:t>א</w:t>
      </w:r>
      <w:r>
        <w:rPr>
          <w:rtl w:val="true"/>
        </w:rPr>
        <w:t>)(</w:t>
      </w:r>
      <w:r>
        <w:rPr/>
        <w:t>2</w:t>
      </w:r>
      <w:r>
        <w:rPr>
          <w:rtl w:val="true"/>
        </w:rPr>
        <w:t xml:space="preserve">) </w:t>
      </w:r>
      <w:r>
        <w:rPr>
          <w:rtl w:val="true"/>
        </w:rPr>
        <w:t>לחוק העונשין</w:t>
      </w:r>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 xml:space="preserve">חבלה במזיד ברכב עבירה לפי סעיף  </w:t>
      </w:r>
      <w:r>
        <w:rPr/>
        <w:t>413</w:t>
      </w:r>
      <w:r>
        <w:rPr>
          <w:rtl w:val="true"/>
        </w:rPr>
        <w:t>ה</w:t>
      </w:r>
      <w:r>
        <w:rPr>
          <w:rtl w:val="true"/>
        </w:rPr>
        <w:t xml:space="preserve">' </w:t>
      </w:r>
      <w:r>
        <w:rPr>
          <w:rtl w:val="true"/>
        </w:rPr>
        <w:t>לחוק העונשין</w:t>
      </w:r>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שתי עבירות של ירי באזור מגורים</w:t>
      </w:r>
      <w:r>
        <w:rPr>
          <w:rtl w:val="true"/>
        </w:rPr>
        <w:t xml:space="preserve">- </w:t>
      </w:r>
      <w:r>
        <w:rPr>
          <w:rtl w:val="true"/>
        </w:rPr>
        <w:t xml:space="preserve">עבירה לפי סעיף </w:t>
      </w:r>
      <w:r>
        <w:rPr/>
        <w:t>340</w:t>
      </w:r>
      <w:r>
        <w:rPr>
          <w:rtl w:val="true"/>
        </w:rPr>
        <w:t>א</w:t>
      </w:r>
      <w:r>
        <w:rPr>
          <w:rtl w:val="true"/>
        </w:rPr>
        <w:t xml:space="preserve">' </w:t>
      </w:r>
      <w:r>
        <w:rPr>
          <w:rtl w:val="true"/>
        </w:rPr>
        <w:t>לחוק העונשין</w:t>
      </w:r>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ועבירה של התנהגות פסולה במקום ציבורי</w:t>
      </w:r>
      <w:r>
        <w:rPr>
          <w:rtl w:val="true"/>
        </w:rPr>
        <w:t xml:space="preserve">- </w:t>
      </w:r>
      <w:r>
        <w:rPr>
          <w:rtl w:val="true"/>
        </w:rPr>
        <w:t xml:space="preserve">עבירה לפי סעיף </w:t>
      </w:r>
      <w:r>
        <w:rPr/>
        <w:t>216</w:t>
      </w:r>
      <w:r>
        <w:rPr>
          <w:rtl w:val="true"/>
        </w:rPr>
        <w:t>(</w:t>
      </w:r>
      <w:r>
        <w:rPr>
          <w:rtl w:val="true"/>
        </w:rPr>
        <w:t>א</w:t>
      </w:r>
      <w:r>
        <w:rPr>
          <w:rtl w:val="true"/>
        </w:rPr>
        <w:t>)(</w:t>
      </w:r>
      <w:r>
        <w:rPr/>
        <w:t>1</w:t>
      </w:r>
      <w:r>
        <w:rPr>
          <w:rtl w:val="true"/>
        </w:rPr>
        <w:t xml:space="preserve">) </w:t>
      </w:r>
      <w:r>
        <w:rPr>
          <w:rtl w:val="true"/>
        </w:rPr>
        <w:t>לחוק העונשין</w:t>
      </w:r>
      <w:r>
        <w:rPr>
          <w:rtl w:val="true"/>
        </w:rPr>
        <w:t xml:space="preserve">, </w:t>
      </w:r>
      <w:r>
        <w:rPr>
          <w:rtl w:val="true"/>
        </w:rPr>
        <w:t>התשל</w:t>
      </w:r>
      <w:r>
        <w:rPr>
          <w:rtl w:val="true"/>
        </w:rPr>
        <w:t>"</w:t>
      </w:r>
      <w:r>
        <w:rPr>
          <w:rtl w:val="true"/>
        </w:rPr>
        <w:t>ז</w:t>
      </w:r>
      <w:r>
        <w:rPr>
          <w:rtl w:val="true"/>
        </w:rPr>
        <w:t>-</w:t>
      </w:r>
      <w:r>
        <w:rPr/>
        <w:t>1977</w:t>
      </w:r>
      <w:r>
        <w:rPr>
          <w:rtl w:val="true"/>
        </w:rPr>
        <w:t>.</w:t>
      </w:r>
    </w:p>
    <w:p>
      <w:pPr>
        <w:pStyle w:val="Normal"/>
        <w:spacing w:lineRule="auto" w:line="360"/>
        <w:ind w:start="360" w:end="0"/>
        <w:jc w:val="both"/>
        <w:rPr/>
      </w:pPr>
      <w:r>
        <w:rPr>
          <w:rtl w:val="true"/>
        </w:rPr>
      </w:r>
      <w:bookmarkStart w:id="16" w:name="ABSTRACT_END"/>
      <w:bookmarkStart w:id="17" w:name="ABSTRACT_END"/>
      <w:bookmarkEnd w:id="17"/>
    </w:p>
    <w:p>
      <w:pPr>
        <w:pStyle w:val="Normal"/>
        <w:numPr>
          <w:ilvl w:val="0"/>
          <w:numId w:val="1"/>
        </w:numPr>
        <w:spacing w:lineRule="auto" w:line="360"/>
        <w:ind w:hanging="360" w:start="720" w:end="0"/>
        <w:jc w:val="both"/>
        <w:rPr/>
      </w:pPr>
      <w:r>
        <w:rPr>
          <w:rtl w:val="true"/>
        </w:rPr>
        <w:t xml:space="preserve">כפי שפורט בהרחבה בהכרעת הדין ביום </w:t>
      </w:r>
      <w:r>
        <w:rPr/>
        <w:t>7.12.09</w:t>
      </w:r>
      <w:r>
        <w:rPr>
          <w:rtl w:val="true"/>
        </w:rPr>
        <w:t xml:space="preserve"> </w:t>
      </w:r>
      <w:r>
        <w:rPr>
          <w:rtl w:val="true"/>
        </w:rPr>
        <w:t>החזיק ונשא  הנאשם אקדח בלי רשות כדין</w:t>
      </w:r>
      <w:r>
        <w:rPr>
          <w:rtl w:val="true"/>
        </w:rPr>
        <w:t xml:space="preserve">. </w:t>
      </w:r>
      <w:r>
        <w:rPr>
          <w:rtl w:val="true"/>
        </w:rPr>
        <w:t>משלא נענו חיזוריו לקטינה אותה רצה לשאת לאישה</w:t>
      </w:r>
      <w:r>
        <w:rPr>
          <w:rtl w:val="true"/>
        </w:rPr>
        <w:t xml:space="preserve">, </w:t>
      </w:r>
      <w:r>
        <w:rPr>
          <w:rtl w:val="true"/>
        </w:rPr>
        <w:t xml:space="preserve">עמד הנאשם על המדרכה בכפר עראבה ומשחלף במקום רכב ובו </w:t>
      </w:r>
      <w:r>
        <w:rPr/>
        <w:t>4</w:t>
      </w:r>
      <w:r>
        <w:rPr>
          <w:rtl w:val="true"/>
        </w:rPr>
        <w:t xml:space="preserve"> </w:t>
      </w:r>
      <w:r>
        <w:rPr>
          <w:rtl w:val="true"/>
        </w:rPr>
        <w:t>נוסעים וביניהם אחיה של הקטינה</w:t>
      </w:r>
      <w:r>
        <w:rPr>
          <w:rtl w:val="true"/>
        </w:rPr>
        <w:t xml:space="preserve">, </w:t>
      </w:r>
      <w:r>
        <w:rPr>
          <w:rtl w:val="true"/>
        </w:rPr>
        <w:t>ירה הנאשם באוויר</w:t>
      </w:r>
      <w:r>
        <w:rPr>
          <w:rtl w:val="true"/>
        </w:rPr>
        <w:t xml:space="preserve">. </w:t>
      </w:r>
      <w:r>
        <w:rPr>
          <w:rtl w:val="true"/>
        </w:rPr>
        <w:t>משלא הוכחה פגיעה ברכב וניסיון לירות לעבר נוסעיו</w:t>
      </w:r>
      <w:r>
        <w:rPr>
          <w:rtl w:val="true"/>
        </w:rPr>
        <w:t xml:space="preserve">, </w:t>
      </w:r>
      <w:r>
        <w:rPr>
          <w:rtl w:val="true"/>
        </w:rPr>
        <w:t>זוכה הנאשם לגבי אישום זה מעבירות של חבלה בכוונה מחמירה וחבלה במזיד ברכב</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כשעה וחצי לאחר מכן שהגיע אחיו של אחד מנוסעי הרכב מר אבו חשיש לחצרו של הנאשם</w:t>
      </w:r>
      <w:r>
        <w:rPr>
          <w:rtl w:val="true"/>
        </w:rPr>
        <w:t xml:space="preserve">. </w:t>
      </w:r>
      <w:r>
        <w:rPr>
          <w:rtl w:val="true"/>
        </w:rPr>
        <w:t>ירה הנאשם לעברו</w:t>
      </w:r>
      <w:r>
        <w:rPr>
          <w:rtl w:val="true"/>
        </w:rPr>
        <w:t xml:space="preserve">, </w:t>
      </w:r>
      <w:r>
        <w:rPr>
          <w:rtl w:val="true"/>
        </w:rPr>
        <w:t>יריות שפגעו ברכב</w:t>
      </w:r>
      <w:r>
        <w:rPr>
          <w:rtl w:val="true"/>
        </w:rPr>
        <w:t xml:space="preserve">, </w:t>
      </w:r>
      <w:r>
        <w:rPr>
          <w:rtl w:val="true"/>
        </w:rPr>
        <w:t>במקרה זה  הורשע הנאשם בנוסף להחזקה ונשיאת הנשק בעבירות של חבלה בכוונה מחמירה</w:t>
      </w:r>
      <w:r>
        <w:rPr>
          <w:rtl w:val="true"/>
        </w:rPr>
        <w:t xml:space="preserve">, </w:t>
      </w:r>
      <w:r>
        <w:rPr>
          <w:rtl w:val="true"/>
        </w:rPr>
        <w:t>חבלה במזיד ברכב וירי באזור מגורים</w:t>
      </w:r>
      <w:r>
        <w:rPr>
          <w:rtl w:val="true"/>
        </w:rPr>
        <w:t xml:space="preserve">.  </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יצוין כי לאחר שמיעת הראיות וסיכומי  המאשימה</w:t>
      </w:r>
      <w:r>
        <w:rPr>
          <w:rtl w:val="true"/>
        </w:rPr>
        <w:t xml:space="preserve">, </w:t>
      </w:r>
      <w:r>
        <w:rPr>
          <w:rtl w:val="true"/>
        </w:rPr>
        <w:t>הודה הנאשם בעבירות של החזקה ונשיאת נשק בשני המקרים וירי באוויר</w:t>
      </w:r>
      <w:r>
        <w:rPr>
          <w:rtl w:val="true"/>
        </w:rPr>
        <w:t>.</w:t>
      </w:r>
    </w:p>
    <w:p>
      <w:pPr>
        <w:pStyle w:val="Normal"/>
        <w:spacing w:lineRule="auto" w:line="360"/>
        <w:ind w:end="0"/>
        <w:jc w:val="both"/>
        <w:rPr/>
      </w:pPr>
      <w:r>
        <w:rPr>
          <w:rtl w:val="true"/>
        </w:rPr>
      </w:r>
    </w:p>
    <w:p>
      <w:pPr>
        <w:pStyle w:val="Normal"/>
        <w:spacing w:lineRule="auto" w:line="360"/>
        <w:ind w:firstLine="360" w:start="360" w:end="0"/>
        <w:jc w:val="both"/>
        <w:rPr>
          <w:u w:val="single"/>
        </w:rPr>
      </w:pPr>
      <w:r>
        <w:rPr>
          <w:u w:val="single"/>
          <w:rtl w:val="true"/>
        </w:rPr>
        <w:t>תמצית הטעונים לעונש</w:t>
      </w:r>
    </w:p>
    <w:p>
      <w:pPr>
        <w:pStyle w:val="Normal"/>
        <w:numPr>
          <w:ilvl w:val="0"/>
          <w:numId w:val="1"/>
        </w:numPr>
        <w:spacing w:lineRule="auto" w:line="360"/>
        <w:ind w:hanging="360" w:start="720" w:end="0"/>
        <w:jc w:val="both"/>
        <w:rPr/>
      </w:pPr>
      <w:r>
        <w:rPr>
          <w:rtl w:val="true"/>
        </w:rPr>
        <w:t>המאשימה הציגה את גיליון המרשם הפלילי של הנאשם</w:t>
      </w:r>
      <w:r>
        <w:rPr>
          <w:rtl w:val="true"/>
        </w:rPr>
        <w:t xml:space="preserve">, </w:t>
      </w:r>
      <w:r>
        <w:rPr>
          <w:rtl w:val="true"/>
        </w:rPr>
        <w:t xml:space="preserve">הכולל הרשעה בעבירות של סיכון אדם בנתיב תחבורה והשתתפות בהתפרעות והרשעה בעבירה של התנהגות פרועה במקום ציבורי במסגרתה הוטל עליו עונש של </w:t>
      </w:r>
      <w:r>
        <w:rPr/>
        <w:t>3</w:t>
      </w:r>
      <w:r>
        <w:rPr>
          <w:rtl w:val="true"/>
        </w:rPr>
        <w:t xml:space="preserve"> </w:t>
      </w:r>
      <w:r>
        <w:rPr>
          <w:rtl w:val="true"/>
        </w:rPr>
        <w:t>חודשי מאסר על תנאי בר הפעלה אותם מבקשת המאשימה להפעיל במצטבר לכל עונש</w:t>
      </w:r>
      <w:r>
        <w:rPr>
          <w:rtl w:val="true"/>
        </w:rPr>
        <w:t>.</w:t>
      </w:r>
    </w:p>
    <w:p>
      <w:pPr>
        <w:pStyle w:val="Normal"/>
        <w:spacing w:lineRule="auto" w:line="360"/>
        <w:ind w:start="360" w:end="0"/>
        <w:jc w:val="both"/>
        <w:rPr/>
      </w:pPr>
      <w:r>
        <w:rPr>
          <w:rtl w:val="true"/>
        </w:rPr>
      </w:r>
    </w:p>
    <w:p>
      <w:pPr>
        <w:pStyle w:val="Normal"/>
        <w:numPr>
          <w:ilvl w:val="0"/>
          <w:numId w:val="1"/>
        </w:numPr>
        <w:spacing w:lineRule="auto" w:line="360"/>
        <w:ind w:hanging="360" w:start="720" w:end="0"/>
        <w:jc w:val="both"/>
        <w:rPr/>
      </w:pPr>
      <w:r>
        <w:rPr>
          <w:rtl w:val="true"/>
        </w:rPr>
        <w:t>ב</w:t>
      </w:r>
      <w:r>
        <w:rPr>
          <w:rtl w:val="true"/>
        </w:rPr>
        <w:t>"</w:t>
      </w:r>
      <w:r>
        <w:rPr>
          <w:rtl w:val="true"/>
        </w:rPr>
        <w:t>כ המאשימה שמה דגש על חומרת מעשיו של הנאשם וכי יש למגר את התופעה של פתרון סכסוכים באמצעות שימוש בנשק בדרך של ענישה מרתיעה</w:t>
      </w:r>
      <w:r>
        <w:rPr>
          <w:rtl w:val="true"/>
        </w:rPr>
        <w:t xml:space="preserve">. </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היא מוסיפה כי יש לראות סיבה נוספת לחומרה בעובדה שהנשק בו עשה שימוש הנאשם לא נתפס</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המאשימה ביקשה לגזור על הנאשם עונש מאסר בפועל מרתיע</w:t>
      </w:r>
      <w:r>
        <w:rPr>
          <w:rtl w:val="true"/>
        </w:rPr>
        <w:t xml:space="preserve">, </w:t>
      </w:r>
      <w:r>
        <w:rPr>
          <w:rtl w:val="true"/>
        </w:rPr>
        <w:t>מאסר על תנאי ופיצוי למתלוננים</w:t>
      </w:r>
      <w:r>
        <w:rPr>
          <w:rtl w:val="true"/>
        </w:rPr>
        <w:t xml:space="preserve">, </w:t>
      </w:r>
      <w:r>
        <w:rPr>
          <w:rtl w:val="true"/>
        </w:rPr>
        <w:t>בהסתמך על אסופת פסיקה והנסיבות החמורות</w:t>
      </w:r>
      <w:r>
        <w:rPr>
          <w:rtl w:val="true"/>
        </w:rPr>
        <w:t>.</w:t>
      </w:r>
    </w:p>
    <w:p>
      <w:pPr>
        <w:pStyle w:val="Normal"/>
        <w:numPr>
          <w:ilvl w:val="0"/>
          <w:numId w:val="1"/>
        </w:numPr>
        <w:spacing w:lineRule="auto" w:line="360"/>
        <w:ind w:hanging="360" w:start="720" w:end="0"/>
        <w:jc w:val="both"/>
        <w:rPr/>
      </w:pPr>
      <w:r>
        <w:rPr>
          <w:rtl w:val="true"/>
        </w:rPr>
        <w:t>הסנגור בטיעוניו הבהיר כי עברו של הנאשם אינו מכביד</w:t>
      </w:r>
      <w:r>
        <w:rPr>
          <w:rtl w:val="true"/>
        </w:rPr>
        <w:t xml:space="preserve">, </w:t>
      </w:r>
      <w:r>
        <w:rPr>
          <w:rtl w:val="true"/>
        </w:rPr>
        <w:t xml:space="preserve">הרשעתו הראשונה היתה בשנת </w:t>
      </w:r>
      <w:r>
        <w:rPr/>
        <w:t>2001</w:t>
      </w:r>
      <w:r>
        <w:rPr>
          <w:rtl w:val="true"/>
        </w:rPr>
        <w:t xml:space="preserve"> </w:t>
      </w:r>
      <w:r>
        <w:rPr>
          <w:rtl w:val="true"/>
        </w:rPr>
        <w:t>בעת היותו קטין והרשעתו השנייה הינה בשל אירוע במשחק כדורגל</w:t>
      </w:r>
      <w:r>
        <w:rPr>
          <w:rtl w:val="true"/>
        </w:rPr>
        <w:t>.</w:t>
      </w:r>
    </w:p>
    <w:p>
      <w:pPr>
        <w:pStyle w:val="Normal"/>
        <w:spacing w:lineRule="auto" w:line="360"/>
        <w:ind w:start="360" w:end="0"/>
        <w:jc w:val="both"/>
        <w:rPr/>
      </w:pPr>
      <w:r>
        <w:rPr>
          <w:rtl w:val="true"/>
        </w:rPr>
      </w:r>
    </w:p>
    <w:p>
      <w:pPr>
        <w:pStyle w:val="Normal"/>
        <w:numPr>
          <w:ilvl w:val="0"/>
          <w:numId w:val="1"/>
        </w:numPr>
        <w:spacing w:lineRule="auto" w:line="360"/>
        <w:ind w:hanging="360" w:start="720" w:end="0"/>
        <w:jc w:val="both"/>
        <w:rPr/>
      </w:pPr>
      <w:r>
        <w:rPr>
          <w:rtl w:val="true"/>
        </w:rPr>
        <w:t>הסנגור ביקש לראות את שני האישומים כמעשה אחד</w:t>
      </w:r>
      <w:r>
        <w:rPr>
          <w:rtl w:val="true"/>
        </w:rPr>
        <w:t xml:space="preserve">, </w:t>
      </w:r>
      <w:r>
        <w:rPr>
          <w:rtl w:val="true"/>
        </w:rPr>
        <w:t>לזקוף לזכותו של הנאשם את הודאתו וחרטתו</w:t>
      </w:r>
      <w:r>
        <w:rPr>
          <w:rtl w:val="true"/>
        </w:rPr>
        <w:t xml:space="preserve">, </w:t>
      </w:r>
      <w:r>
        <w:rPr>
          <w:rtl w:val="true"/>
        </w:rPr>
        <w:t>את זיכויו מחלק מהעבירות ושלא להעניש את הנאשם על שניהל משפט כדי להוכיח את חפותו</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הסנגור הדגיש כי עמדתו התקבלה באשר לאישום הראשון וכי לא נגרם נזק גופני בשני המקרים והוא הוסיף כי יש לקחת בחשבון את התקופה הארוכה בה שוהה הנאשם במעצר בתנאים קשים וזאת גם בשל סבלו מפגיעות שנפגע בתאונת דרכים קשה</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הסנגור ביקש שלא להטיל על הנאשם עונש מאסר מעבר לתקופה בה הוא נמצא במעצר או לחלופין להטיל עליו עונש של עבודות שירות והוא הציג פסקי דין לתמיכה בטענותיו</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הנאשם ביקש סליחה על מעשיו והתחייב שלא לחזור על מעשים כאלו בעתיד</w:t>
      </w:r>
      <w:r>
        <w:rPr>
          <w:rtl w:val="true"/>
        </w:rPr>
        <w:t>.</w:t>
      </w:r>
    </w:p>
    <w:p>
      <w:pPr>
        <w:pStyle w:val="Normal"/>
        <w:spacing w:lineRule="auto" w:line="360"/>
        <w:ind w:firstLine="360" w:start="360" w:end="0"/>
        <w:jc w:val="both"/>
        <w:rPr>
          <w:u w:val="single"/>
        </w:rPr>
      </w:pPr>
      <w:r>
        <w:rPr>
          <w:u w:val="single"/>
          <w:rtl w:val="true"/>
        </w:rPr>
        <w:t>דיון</w:t>
      </w:r>
    </w:p>
    <w:p>
      <w:pPr>
        <w:pStyle w:val="Normal"/>
        <w:numPr>
          <w:ilvl w:val="0"/>
          <w:numId w:val="1"/>
        </w:numPr>
        <w:spacing w:lineRule="auto" w:line="360"/>
        <w:ind w:hanging="360" w:start="720" w:end="0"/>
        <w:jc w:val="both"/>
        <w:rPr/>
      </w:pPr>
      <w:r>
        <w:rPr>
          <w:rtl w:val="true"/>
        </w:rPr>
        <w:t>בראש ובראשונה אבהיר כי לא שוכנעתי כי חרטתו של הנאשם כנה ואף הודאתו החלקית  המאוחרת אינה מצביעה על חרטה כל שהיא</w:t>
      </w:r>
      <w:r>
        <w:rPr>
          <w:rtl w:val="true"/>
        </w:rPr>
        <w:t>.</w:t>
      </w:r>
    </w:p>
    <w:p>
      <w:pPr>
        <w:pStyle w:val="Normal"/>
        <w:spacing w:lineRule="auto" w:line="360"/>
        <w:ind w:start="360" w:end="0"/>
        <w:jc w:val="both"/>
        <w:rPr/>
      </w:pPr>
      <w:r>
        <w:rPr>
          <w:rtl w:val="true"/>
        </w:rPr>
      </w:r>
    </w:p>
    <w:p>
      <w:pPr>
        <w:pStyle w:val="Normal"/>
        <w:numPr>
          <w:ilvl w:val="0"/>
          <w:numId w:val="1"/>
        </w:numPr>
        <w:spacing w:lineRule="auto" w:line="360"/>
        <w:ind w:hanging="360" w:start="720" w:end="0"/>
        <w:jc w:val="both"/>
        <w:rPr/>
      </w:pPr>
      <w:r>
        <w:rPr>
          <w:rtl w:val="true"/>
        </w:rPr>
        <w:t>רק בתום</w:t>
      </w:r>
      <w:r>
        <w:rPr>
          <w:rtl w:val="true"/>
        </w:rPr>
        <w:t xml:space="preserve"> </w:t>
      </w:r>
      <w:r>
        <w:rPr>
          <w:rtl w:val="true"/>
        </w:rPr>
        <w:t>שמיעת כל העדויות ולאחר שמיעת סיכומי המאשימה נזכר הנאשם להודות כי החזיק ונשא נשק וכי ירה לכיוון האוויר בשני האישומים שיוחסו לו בכתב האישום</w:t>
      </w:r>
      <w:r>
        <w:rPr>
          <w:rtl w:val="true"/>
        </w:rPr>
        <w:t xml:space="preserve">.  </w:t>
      </w:r>
      <w:r>
        <w:rPr>
          <w:rtl w:val="true"/>
        </w:rPr>
        <w:t>הודאה חלקית שלא חסכה זמן שיפוטי ואזכיר כי באשר לעבירות החמורות של ירי לעבר רכב ופגיעה בו הנאשם הורשע על סמך העדויות</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כל עוד מחזיק הנאשם באקדח ולא מוסרו למשטרה איני רואה במילות החרטה דברי אמת</w:t>
      </w:r>
      <w:r>
        <w:rPr>
          <w:rtl w:val="true"/>
        </w:rPr>
        <w:t xml:space="preserve">. </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לכך אוסיף כי על פי גיליון המרשם הפלילי הנאשם מגיל צעיר ראה בדרכי אלימות כאורח חיים</w:t>
      </w:r>
      <w:r>
        <w:rPr>
          <w:rtl w:val="true"/>
        </w:rPr>
        <w:t xml:space="preserve">. </w:t>
      </w:r>
      <w:r>
        <w:rPr>
          <w:rtl w:val="true"/>
        </w:rPr>
        <w:t xml:space="preserve">ביום </w:t>
      </w:r>
      <w:r>
        <w:rPr/>
        <w:t>4.6.01</w:t>
      </w:r>
      <w:r>
        <w:rPr>
          <w:rtl w:val="true"/>
        </w:rPr>
        <w:t xml:space="preserve"> </w:t>
      </w:r>
      <w:r>
        <w:rPr>
          <w:rtl w:val="true"/>
        </w:rPr>
        <w:t>הוא הורשע בעבירות חמורות של סיכון אדם בנתיב תחבורה והשתתפות בהתפרעות</w:t>
      </w:r>
      <w:r>
        <w:rPr>
          <w:rtl w:val="true"/>
        </w:rPr>
        <w:t xml:space="preserve">.  </w:t>
      </w:r>
      <w:r>
        <w:rPr/>
        <w:t>6</w:t>
      </w:r>
      <w:r>
        <w:rPr>
          <w:rtl w:val="true"/>
        </w:rPr>
        <w:t xml:space="preserve"> </w:t>
      </w:r>
      <w:r>
        <w:rPr>
          <w:rtl w:val="true"/>
        </w:rPr>
        <w:t>חודשים לפני ביצוע העבירות נשוא תיק זה נדון הנאשם ל</w:t>
      </w:r>
      <w:r>
        <w:rPr>
          <w:rtl w:val="true"/>
        </w:rPr>
        <w:t>-</w:t>
      </w:r>
      <w:r>
        <w:rPr/>
        <w:t>3</w:t>
      </w:r>
      <w:r>
        <w:rPr>
          <w:rtl w:val="true"/>
        </w:rPr>
        <w:t xml:space="preserve"> </w:t>
      </w:r>
      <w:r>
        <w:rPr>
          <w:rtl w:val="true"/>
        </w:rPr>
        <w:t>חודשי מאסר על תנאי בגין עבירה של התנהגות פרועה</w:t>
      </w:r>
      <w:r>
        <w:rPr>
          <w:rtl w:val="true"/>
        </w:rPr>
        <w:t xml:space="preserve">, </w:t>
      </w:r>
      <w:r>
        <w:rPr>
          <w:rtl w:val="true"/>
        </w:rPr>
        <w:t>מה שלא מנע ממנו לעבור את אותה עבירה ביחד עם עבירות נוספות כמתואר בהכרעת הדין</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משלא התגשמו רצונותיו של הנאשם בקשר לקטינה אותה אהב</w:t>
      </w:r>
      <w:r>
        <w:rPr>
          <w:rtl w:val="true"/>
        </w:rPr>
        <w:t xml:space="preserve">, </w:t>
      </w:r>
      <w:r>
        <w:rPr>
          <w:rtl w:val="true"/>
        </w:rPr>
        <w:t>בחר הנאשם להשליט רצונו בדרכי אלימות תוך שימוש באקדח</w:t>
      </w:r>
      <w:r>
        <w:rPr>
          <w:rtl w:val="true"/>
        </w:rPr>
        <w:t xml:space="preserve">. </w:t>
      </w:r>
      <w:r>
        <w:rPr>
          <w:rtl w:val="true"/>
        </w:rPr>
        <w:t xml:space="preserve">על פי האישום הראשון ירה הנאשם </w:t>
      </w:r>
      <w:r>
        <w:rPr>
          <w:rtl w:val="true"/>
        </w:rPr>
        <w:t>(</w:t>
      </w:r>
      <w:r>
        <w:rPr>
          <w:rtl w:val="true"/>
        </w:rPr>
        <w:t>לכיוון האוויר</w:t>
      </w:r>
      <w:r>
        <w:rPr>
          <w:rtl w:val="true"/>
        </w:rPr>
        <w:t xml:space="preserve">) </w:t>
      </w:r>
      <w:r>
        <w:rPr>
          <w:rtl w:val="true"/>
        </w:rPr>
        <w:t xml:space="preserve">בטבורה של עיר שכשחלף לידו רכב ובו </w:t>
      </w:r>
      <w:r>
        <w:rPr/>
        <w:t>4</w:t>
      </w:r>
      <w:r>
        <w:rPr>
          <w:rtl w:val="true"/>
        </w:rPr>
        <w:t xml:space="preserve"> </w:t>
      </w:r>
      <w:r>
        <w:rPr>
          <w:rtl w:val="true"/>
        </w:rPr>
        <w:t>נוסעים וביניהם אחיה של הקטינה</w:t>
      </w:r>
      <w:r>
        <w:rPr>
          <w:rtl w:val="true"/>
        </w:rPr>
        <w:t xml:space="preserve">, </w:t>
      </w:r>
      <w:r>
        <w:rPr>
          <w:rtl w:val="true"/>
        </w:rPr>
        <w:t>זמן קצר לאחר מכן ירה הנאשם לעבר רכב אחר בו ישב מר אבו חשיש</w:t>
      </w:r>
      <w:r>
        <w:rPr>
          <w:rtl w:val="true"/>
        </w:rPr>
        <w:t xml:space="preserve">, </w:t>
      </w:r>
      <w:r>
        <w:rPr/>
        <w:t>4</w:t>
      </w:r>
      <w:r>
        <w:rPr>
          <w:rtl w:val="true"/>
        </w:rPr>
        <w:t xml:space="preserve"> </w:t>
      </w:r>
      <w:r>
        <w:rPr>
          <w:rtl w:val="true"/>
        </w:rPr>
        <w:t>קליעים פגעו ברכב ורק בנס לא נפגע הנהג שישב בתוכו</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באווירת האלימות השוררת בחברתנו מן הראוי להחמיר עם עושי שימוש בנשק לשם פתרון סכסוכים או השלטת רצונותיהם ואפנה לפסק דינו של כב</w:t>
      </w:r>
      <w:r>
        <w:rPr>
          <w:rtl w:val="true"/>
        </w:rPr>
        <w:t xml:space="preserve">' </w:t>
      </w:r>
      <w:r>
        <w:rPr>
          <w:rtl w:val="true"/>
        </w:rPr>
        <w:t>הש</w:t>
      </w:r>
      <w:r>
        <w:rPr>
          <w:rtl w:val="true"/>
        </w:rPr>
        <w:t xml:space="preserve">' </w:t>
      </w:r>
      <w:r>
        <w:rPr>
          <w:rtl w:val="true"/>
        </w:rPr>
        <w:t xml:space="preserve">דנציגר מיום </w:t>
      </w:r>
      <w:r>
        <w:rPr/>
        <w:t>13.4.10</w:t>
      </w:r>
      <w:r>
        <w:rPr>
          <w:rtl w:val="true"/>
        </w:rPr>
        <w:t xml:space="preserve"> </w:t>
      </w:r>
      <w:hyperlink r:id="rId9">
        <w:r>
          <w:rPr>
            <w:rStyle w:val="Hyperlink"/>
            <w:rtl w:val="true"/>
          </w:rPr>
          <w:t>ע</w:t>
        </w:r>
        <w:r>
          <w:rPr>
            <w:rStyle w:val="Hyperlink"/>
            <w:rtl w:val="true"/>
          </w:rPr>
          <w:t>"</w:t>
        </w:r>
        <w:r>
          <w:rPr>
            <w:rStyle w:val="Hyperlink"/>
            <w:rtl w:val="true"/>
          </w:rPr>
          <w:t xml:space="preserve">פ </w:t>
        </w:r>
        <w:r>
          <w:rPr>
            <w:rStyle w:val="Hyperlink"/>
          </w:rPr>
          <w:t>3573/08</w:t>
        </w:r>
      </w:hyperlink>
      <w:r>
        <w:rPr>
          <w:rtl w:val="true"/>
        </w:rPr>
        <w:t xml:space="preserve"> </w:t>
      </w:r>
      <w:r>
        <w:rPr>
          <w:rtl w:val="true"/>
        </w:rPr>
        <w:t xml:space="preserve">עודה עוואדרה נגד מדינת ישראל הדן בשימוש בסכין </w:t>
      </w:r>
      <w:r>
        <w:rPr>
          <w:rtl w:val="true"/>
        </w:rPr>
        <w:t>"</w:t>
      </w:r>
      <w:r>
        <w:rPr>
          <w:rtl w:val="true"/>
        </w:rPr>
        <w:t>אשוב ואדגיש דברים עליהם עמדתי ב</w:t>
      </w:r>
      <w:hyperlink r:id="rId10">
        <w:r>
          <w:rPr>
            <w:rStyle w:val="Hyperlink"/>
            <w:rtl w:val="true"/>
          </w:rPr>
          <w:t>ע</w:t>
        </w:r>
        <w:r>
          <w:rPr>
            <w:rStyle w:val="Hyperlink"/>
            <w:rtl w:val="true"/>
          </w:rPr>
          <w:t>"</w:t>
        </w:r>
        <w:r>
          <w:rPr>
            <w:rStyle w:val="Hyperlink"/>
            <w:rtl w:val="true"/>
          </w:rPr>
          <w:t xml:space="preserve">פ </w:t>
        </w:r>
        <w:r>
          <w:rPr>
            <w:rStyle w:val="Hyperlink"/>
          </w:rPr>
          <w:t>3863/09</w:t>
        </w:r>
      </w:hyperlink>
      <w:r>
        <w:rPr>
          <w:rtl w:val="true"/>
        </w:rPr>
        <w:t xml:space="preserve"> </w:t>
      </w:r>
      <w:r>
        <w:rPr>
          <w:rtl w:val="true"/>
        </w:rPr>
        <w:t>מדינת ישראל נ</w:t>
      </w:r>
      <w:r>
        <w:rPr>
          <w:rtl w:val="true"/>
        </w:rPr>
        <w:t xml:space="preserve">' </w:t>
      </w:r>
      <w:r>
        <w:rPr>
          <w:rtl w:val="true"/>
        </w:rPr>
        <w:t xml:space="preserve">חסן </w:t>
      </w:r>
      <w:r>
        <w:rPr>
          <w:rtl w:val="true"/>
        </w:rPr>
        <w:t>(</w:t>
      </w:r>
      <w:r>
        <w:rPr>
          <w:rtl w:val="true"/>
        </w:rPr>
        <w:t>לא פורסם</w:t>
      </w:r>
      <w:r>
        <w:rPr>
          <w:rtl w:val="true"/>
        </w:rPr>
        <w:t xml:space="preserve">, </w:t>
      </w:r>
      <w:r>
        <w:rPr/>
        <w:t>10.11.2009</w:t>
      </w:r>
      <w:r>
        <w:rPr>
          <w:rtl w:val="true"/>
        </w:rPr>
        <w:t xml:space="preserve">), </w:t>
      </w:r>
      <w:r>
        <w:rPr>
          <w:rtl w:val="true"/>
        </w:rPr>
        <w:t xml:space="preserve">לפיהם </w:t>
      </w:r>
      <w:r>
        <w:rPr>
          <w:b/>
          <w:b/>
          <w:bCs/>
          <w:rtl w:val="true"/>
        </w:rPr>
        <w:t>קיים אינטרס ציבורי מובהק וחד משמעי בהרתעת היחיד והרתעת הרבים מפני נקיטה בדרך של כוח ואלימות ליישוב מחלוקות וסכסוכים תוך שימוש בנשק קר</w:t>
      </w:r>
      <w:r>
        <w:rPr>
          <w:b/>
          <w:bCs/>
          <w:rtl w:val="true"/>
        </w:rPr>
        <w:t>.</w:t>
      </w:r>
      <w:r>
        <w:rPr>
          <w:rtl w:val="true"/>
        </w:rPr>
        <w:t xml:space="preserve"> </w:t>
      </w:r>
      <w:r>
        <w:rPr>
          <w:rtl w:val="true"/>
        </w:rPr>
        <w:t xml:space="preserve">המסר שצריך לצאת מבית משפט זה הוא </w:t>
      </w:r>
      <w:r>
        <w:rPr>
          <w:b/>
          <w:b/>
          <w:bCs/>
          <w:rtl w:val="true"/>
        </w:rPr>
        <w:t>שחברה מתוקנת אינה יכולה להשלים עם שימוש בסכין לשם פתרון מחלוקות וסכסוכים</w:t>
      </w:r>
      <w:r>
        <w:rPr>
          <w:b/>
          <w:bCs/>
          <w:rtl w:val="true"/>
        </w:rPr>
        <w:t>.</w:t>
      </w:r>
      <w:r>
        <w:rPr>
          <w:rtl w:val="true"/>
        </w:rPr>
        <w:t xml:space="preserve"> </w:t>
      </w:r>
      <w:r>
        <w:rPr>
          <w:rtl w:val="true"/>
        </w:rPr>
        <w:t>יש לשוב ולהדגיש כי זכותו של כל אדם לחיים ולשלמות הגוף היא זכות יסוד מקודשת ואין להתיר לאיש לפגוע בזכות זו</w:t>
      </w:r>
      <w:r>
        <w:rPr>
          <w:rtl w:val="true"/>
        </w:rPr>
        <w:t xml:space="preserve">. </w:t>
      </w:r>
      <w:r>
        <w:rPr>
          <w:b/>
          <w:b/>
          <w:bCs/>
          <w:rtl w:val="true"/>
        </w:rPr>
        <w:t>יש להלחם באלימות שפשטה בחברה הישראלית על כל צורותיה וגווניה</w:t>
      </w:r>
      <w:r>
        <w:rPr>
          <w:b/>
          <w:bCs/>
          <w:rtl w:val="true"/>
        </w:rPr>
        <w:t xml:space="preserve">, </w:t>
      </w:r>
      <w:r>
        <w:rPr>
          <w:b/>
          <w:b/>
          <w:bCs/>
          <w:rtl w:val="true"/>
        </w:rPr>
        <w:t>אם בתוך המשפחה ואם מחוצה לה</w:t>
      </w:r>
      <w:r>
        <w:rPr>
          <w:b/>
          <w:bCs/>
          <w:rtl w:val="true"/>
        </w:rPr>
        <w:t xml:space="preserve">, </w:t>
      </w:r>
      <w:r>
        <w:rPr>
          <w:b/>
          <w:b/>
          <w:bCs/>
          <w:rtl w:val="true"/>
        </w:rPr>
        <w:t>אם בקרב בני נוער ואם בקרב מבוגרים</w:t>
      </w:r>
      <w:r>
        <w:rPr>
          <w:b/>
          <w:bCs/>
          <w:rtl w:val="true"/>
        </w:rPr>
        <w:t xml:space="preserve">. </w:t>
      </w:r>
      <w:r>
        <w:rPr>
          <w:b/>
          <w:b/>
          <w:bCs/>
          <w:rtl w:val="true"/>
        </w:rPr>
        <w:t>נגע האלימות הינו רעה חולה שיש לבערה מן היסוד</w:t>
      </w:r>
      <w:r>
        <w:rPr>
          <w:b/>
          <w:bCs/>
          <w:rtl w:val="true"/>
        </w:rPr>
        <w:t xml:space="preserve">, </w:t>
      </w:r>
      <w:r>
        <w:rPr>
          <w:b/>
          <w:b/>
          <w:bCs/>
          <w:rtl w:val="true"/>
        </w:rPr>
        <w:t>ומן הראוי שידע כל איש ותדע כל אישה כי אם יבחרו בדרך האלימות ייטו בתי המשפט להשית עליהם עונשי מאסר משמעותיים ומרתיעים מאחורי סורג ובריח</w:t>
      </w:r>
      <w:r>
        <w:rPr>
          <w:rtl w:val="true"/>
        </w:rPr>
        <w:t xml:space="preserve"> </w:t>
      </w:r>
      <w:r>
        <w:rPr>
          <w:rtl w:val="true"/>
        </w:rPr>
        <w:t>(</w:t>
      </w:r>
      <w:hyperlink r:id="rId11">
        <w:r>
          <w:rPr>
            <w:rStyle w:val="Hyperlink"/>
            <w:rtl w:val="true"/>
          </w:rPr>
          <w:t>ע</w:t>
        </w:r>
        <w:r>
          <w:rPr>
            <w:rStyle w:val="Hyperlink"/>
            <w:rtl w:val="true"/>
          </w:rPr>
          <w:t>"</w:t>
        </w:r>
        <w:r>
          <w:rPr>
            <w:rStyle w:val="Hyperlink"/>
            <w:rtl w:val="true"/>
          </w:rPr>
          <w:t xml:space="preserve">פ </w:t>
        </w:r>
        <w:r>
          <w:rPr>
            <w:rStyle w:val="Hyperlink"/>
          </w:rPr>
          <w:t>3863/09</w:t>
        </w:r>
      </w:hyperlink>
      <w:r>
        <w:rPr>
          <w:rtl w:val="true"/>
        </w:rPr>
        <w:t xml:space="preserve"> </w:t>
      </w:r>
      <w:r>
        <w:rPr>
          <w:rtl w:val="true"/>
        </w:rPr>
        <w:t>הנ</w:t>
      </w:r>
      <w:r>
        <w:rPr>
          <w:rtl w:val="true"/>
        </w:rPr>
        <w:t>"</w:t>
      </w:r>
      <w:r>
        <w:rPr>
          <w:rtl w:val="true"/>
        </w:rPr>
        <w:t>ל</w:t>
      </w:r>
      <w:r>
        <w:rPr>
          <w:rtl w:val="true"/>
        </w:rPr>
        <w:t xml:space="preserve">, </w:t>
      </w:r>
      <w:r>
        <w:rPr>
          <w:rtl w:val="true"/>
        </w:rPr>
        <w:t xml:space="preserve">סעיף </w:t>
      </w:r>
      <w:r>
        <w:rPr/>
        <w:t>21</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rFonts w:ascii="Arial TUR;Arial" w:hAnsi="Arial TUR;Arial" w:cs="Arial TUR;Arial"/>
        </w:rPr>
      </w:pPr>
      <w:r>
        <w:rPr>
          <w:rtl w:val="true"/>
        </w:rPr>
        <w:t>מיותר לציין כי נשק חם מסוכן מסכין ואפנה בנושא זה לפסק דינו של כב</w:t>
      </w:r>
      <w:r>
        <w:rPr>
          <w:rtl w:val="true"/>
        </w:rPr>
        <w:t xml:space="preserve">' </w:t>
      </w:r>
      <w:r>
        <w:rPr>
          <w:rtl w:val="true"/>
        </w:rPr>
        <w:t>הש</w:t>
      </w:r>
      <w:r>
        <w:rPr>
          <w:rtl w:val="true"/>
        </w:rPr>
        <w:t xml:space="preserve">' </w:t>
      </w:r>
      <w:r>
        <w:rPr>
          <w:rtl w:val="true"/>
        </w:rPr>
        <w:t xml:space="preserve">רובינשטיין </w:t>
      </w:r>
      <w:hyperlink r:id="rId12">
        <w:r>
          <w:rPr>
            <w:rStyle w:val="Hyperlink"/>
            <w:rtl w:val="true"/>
          </w:rPr>
          <w:t>ע</w:t>
        </w:r>
        <w:r>
          <w:rPr>
            <w:rStyle w:val="Hyperlink"/>
            <w:rtl w:val="true"/>
          </w:rPr>
          <w:t>"</w:t>
        </w:r>
        <w:r>
          <w:rPr>
            <w:rStyle w:val="Hyperlink"/>
            <w:rtl w:val="true"/>
          </w:rPr>
          <w:t xml:space="preserve">פ </w:t>
        </w:r>
        <w:r>
          <w:rPr>
            <w:rStyle w:val="Hyperlink"/>
          </w:rPr>
          <w:t>479/09</w:t>
        </w:r>
      </w:hyperlink>
      <w:r>
        <w:rPr>
          <w:rtl w:val="true"/>
        </w:rPr>
        <w:t xml:space="preserve"> </w:t>
      </w:r>
      <w:r>
        <w:rPr>
          <w:rtl w:val="true"/>
        </w:rPr>
        <w:t xml:space="preserve">מדינת ישראל נגד קיאל קשאש </w:t>
      </w:r>
      <w:r>
        <w:rPr>
          <w:rtl w:val="true"/>
        </w:rPr>
        <w:t>"</w:t>
      </w:r>
      <w:r>
        <w:rPr>
          <w:rtl w:val="true"/>
        </w:rPr>
        <w:t>אין צריך להכביר מלים על הידוע</w:t>
      </w:r>
      <w:r>
        <w:rPr>
          <w:rtl w:val="true"/>
        </w:rPr>
        <w:t xml:space="preserve">, </w:t>
      </w:r>
      <w:r>
        <w:rPr>
          <w:b/>
          <w:b/>
          <w:bCs/>
          <w:rtl w:val="true"/>
        </w:rPr>
        <w:t>שהמציאות הישראלית העכשוית מתאפיינת</w:t>
      </w:r>
      <w:r>
        <w:rPr>
          <w:rtl w:val="true"/>
        </w:rPr>
        <w:t xml:space="preserve"> לא אחת ולא שתיים </w:t>
      </w:r>
      <w:r>
        <w:rPr>
          <w:b/>
          <w:b/>
          <w:bCs/>
          <w:rtl w:val="true"/>
        </w:rPr>
        <w:t>ביד קלה</w:t>
      </w:r>
      <w:r>
        <w:rPr>
          <w:rtl w:val="true"/>
        </w:rPr>
        <w:t xml:space="preserve"> על קת הסכין או </w:t>
      </w:r>
      <w:r>
        <w:rPr>
          <w:b/>
          <w:b/>
          <w:bCs/>
          <w:rtl w:val="true"/>
        </w:rPr>
        <w:t>הדק הנשק</w:t>
      </w:r>
      <w:r>
        <w:rPr>
          <w:rtl w:val="true"/>
        </w:rPr>
        <w:t>...</w:t>
      </w:r>
      <w:r>
        <w:rPr>
          <w:rtl w:val="true"/>
        </w:rPr>
        <w:t>פשיטא כי סכין מסוכן</w:t>
      </w:r>
      <w:r>
        <w:rPr>
          <w:rtl w:val="true"/>
        </w:rPr>
        <w:t xml:space="preserve">, .... </w:t>
      </w:r>
      <w:r>
        <w:rPr>
          <w:b/>
          <w:b/>
          <w:bCs/>
          <w:rtl w:val="true"/>
        </w:rPr>
        <w:t>נשק חם מסוכן הימנו</w:t>
      </w:r>
      <w:r>
        <w:rPr>
          <w:b/>
          <w:bCs/>
          <w:rtl w:val="true"/>
        </w:rPr>
        <w:t xml:space="preserve">, </w:t>
      </w:r>
      <w:r>
        <w:rPr>
          <w:b/>
          <w:b/>
          <w:bCs/>
          <w:rtl w:val="true"/>
        </w:rPr>
        <w:t>שכן פגיעתו עלולה להיות רעה עוד יותר</w:t>
      </w:r>
      <w:r>
        <w:rPr>
          <w:b/>
          <w:bCs/>
          <w:rtl w:val="true"/>
        </w:rPr>
        <w:t xml:space="preserve">, </w:t>
      </w:r>
      <w:r>
        <w:rPr>
          <w:b/>
          <w:b/>
          <w:bCs/>
          <w:rtl w:val="true"/>
        </w:rPr>
        <w:t>ובאופן משמעותי</w:t>
      </w:r>
      <w:r>
        <w:rPr>
          <w:b/>
          <w:bCs/>
          <w:rtl w:val="true"/>
        </w:rPr>
        <w:t xml:space="preserve">, </w:t>
      </w:r>
      <w:r>
        <w:rPr>
          <w:b/>
          <w:b/>
          <w:bCs/>
          <w:rtl w:val="true"/>
        </w:rPr>
        <w:t>תוך סיכון לעוברים ושבים</w:t>
      </w:r>
      <w:r>
        <w:rPr>
          <w:rtl w:val="true"/>
        </w:rPr>
        <w:t xml:space="preserve">. </w:t>
      </w:r>
      <w:r>
        <w:rPr>
          <w:rtl w:val="true"/>
        </w:rPr>
        <w:t>בשונה מארה</w:t>
      </w:r>
      <w:r>
        <w:rPr>
          <w:rtl w:val="true"/>
        </w:rPr>
        <w:t>"</w:t>
      </w:r>
      <w:r>
        <w:rPr>
          <w:rtl w:val="true"/>
        </w:rPr>
        <w:t>ב</w:t>
      </w:r>
      <w:r>
        <w:rPr>
          <w:rtl w:val="true"/>
        </w:rPr>
        <w:t xml:space="preserve">, </w:t>
      </w:r>
      <w:r>
        <w:rPr>
          <w:rtl w:val="true"/>
        </w:rPr>
        <w:t>למשל</w:t>
      </w:r>
      <w:r>
        <w:rPr>
          <w:rtl w:val="true"/>
        </w:rPr>
        <w:t xml:space="preserve">, </w:t>
      </w:r>
      <w:r>
        <w:rPr>
          <w:rtl w:val="true"/>
        </w:rPr>
        <w:t xml:space="preserve">נשיאת נשק בישראל אינה זכות חוקתית אלא – במישור האזרחי </w:t>
      </w:r>
      <w:r>
        <w:rPr>
          <w:rtl w:val="true"/>
        </w:rPr>
        <w:t xml:space="preserve">- </w:t>
      </w:r>
      <w:r>
        <w:rPr>
          <w:rtl w:val="true"/>
        </w:rPr>
        <w:t xml:space="preserve">פריבילגיה מבוקרת </w:t>
      </w:r>
      <w:r>
        <w:rPr>
          <w:rtl w:val="true"/>
        </w:rPr>
        <w:t>(</w:t>
      </w:r>
      <w:r>
        <w:rPr>
          <w:rtl w:val="true"/>
        </w:rPr>
        <w:t>חוק כלי הירייה</w:t>
      </w:r>
      <w:r>
        <w:rPr>
          <w:rtl w:val="true"/>
        </w:rPr>
        <w:t xml:space="preserve">, </w:t>
      </w:r>
      <w:r>
        <w:rPr>
          <w:rtl w:val="true"/>
        </w:rPr>
        <w:t>תש</w:t>
      </w:r>
      <w:r>
        <w:rPr>
          <w:rtl w:val="true"/>
        </w:rPr>
        <w:t>"</w:t>
      </w:r>
      <w:r>
        <w:rPr>
          <w:rtl w:val="true"/>
        </w:rPr>
        <w:t>ט</w:t>
      </w:r>
      <w:r>
        <w:rPr>
          <w:rtl w:val="true"/>
        </w:rPr>
        <w:t>-</w:t>
      </w:r>
      <w:r>
        <w:rPr/>
        <w:t>1949</w:t>
      </w:r>
      <w:r>
        <w:rPr>
          <w:rtl w:val="true"/>
        </w:rPr>
        <w:t xml:space="preserve">, </w:t>
      </w:r>
      <w:r>
        <w:rPr>
          <w:rtl w:val="true"/>
        </w:rPr>
        <w:t xml:space="preserve">סעיף </w:t>
      </w:r>
      <w:r>
        <w:rPr/>
        <w:t>4</w:t>
      </w:r>
      <w:r>
        <w:rPr>
          <w:rtl w:val="true"/>
        </w:rPr>
        <w:t xml:space="preserve">). </w:t>
      </w:r>
      <w:r>
        <w:rPr>
          <w:rtl w:val="true"/>
        </w:rPr>
        <w:t xml:space="preserve">על כן על בתי המשפט לאותת בהתמדה </w:t>
      </w:r>
      <w:r>
        <w:rPr>
          <w:b/>
          <w:b/>
          <w:bCs/>
          <w:rtl w:val="true"/>
        </w:rPr>
        <w:t>שאט נפש שיפוטי מעבירות בנשק על</w:t>
      </w:r>
      <w:r>
        <w:rPr>
          <w:b/>
          <w:bCs/>
          <w:rtl w:val="true"/>
        </w:rPr>
        <w:t>-</w:t>
      </w:r>
      <w:r>
        <w:rPr>
          <w:b/>
          <w:b/>
          <w:bCs/>
          <w:rtl w:val="true"/>
        </w:rPr>
        <w:t>ידי ענישה מחמירה</w:t>
      </w:r>
      <w:r>
        <w:rPr>
          <w:rFonts w:cs="Arial TUR;Arial" w:ascii="Arial TUR;Arial" w:hAnsi="Arial TUR;Arial"/>
          <w:rtl w:val="true"/>
        </w:rPr>
        <w:t>".</w:t>
      </w:r>
    </w:p>
    <w:p>
      <w:pPr>
        <w:pStyle w:val="Normal"/>
        <w:spacing w:lineRule="auto" w:line="360"/>
        <w:ind w:end="0"/>
        <w:jc w:val="both"/>
        <w:rPr>
          <w:rFonts w:ascii="Arial TUR;Arial" w:hAnsi="Arial TUR;Arial" w:cs="Arial TUR;Arial"/>
        </w:rPr>
      </w:pPr>
      <w:r>
        <w:rPr>
          <w:rFonts w:cs="Arial TUR;Arial" w:ascii="Arial TUR;Arial" w:hAnsi="Arial TUR;Arial"/>
          <w:rtl w:val="true"/>
        </w:rPr>
      </w:r>
    </w:p>
    <w:p>
      <w:pPr>
        <w:pStyle w:val="Normal"/>
        <w:numPr>
          <w:ilvl w:val="0"/>
          <w:numId w:val="1"/>
        </w:numPr>
        <w:spacing w:lineRule="auto" w:line="360"/>
        <w:ind w:hanging="360" w:start="720" w:end="0"/>
        <w:jc w:val="both"/>
        <w:rPr/>
      </w:pPr>
      <w:r>
        <w:rPr>
          <w:rtl w:val="true"/>
        </w:rPr>
        <w:t>למעט הזיכוי בחלק מאישומי האישום הראשון</w:t>
      </w:r>
      <w:r>
        <w:rPr>
          <w:rtl w:val="true"/>
        </w:rPr>
        <w:t xml:space="preserve">, </w:t>
      </w:r>
      <w:r>
        <w:rPr>
          <w:rtl w:val="true"/>
        </w:rPr>
        <w:t>לא עומדת לנאשם כל נקודת זכות נוספת וגם אין לראות כבקשת הסנגור את שני האישומים כמקרה אחד</w:t>
      </w:r>
      <w:r>
        <w:rPr>
          <w:rtl w:val="true"/>
        </w:rPr>
        <w:t xml:space="preserve">. </w:t>
      </w:r>
      <w:r>
        <w:rPr>
          <w:rtl w:val="true"/>
        </w:rPr>
        <w:t>מדובר בשימוש פרוע בנשק ללא רישיון בשני מקרים שונים</w:t>
      </w:r>
      <w:r>
        <w:rPr>
          <w:rtl w:val="true"/>
        </w:rPr>
        <w:t xml:space="preserve">, </w:t>
      </w:r>
      <w:r>
        <w:rPr>
          <w:rtl w:val="true"/>
        </w:rPr>
        <w:t>יריות לעבר נהג רכב בחצר בית בה נוכחים אנשים לא מעטים ופגיעה ברכבו או יריות באוויר ברחוב הומה אדם הם מעשים חמורים המחייבים עונש מרתיע</w:t>
      </w:r>
      <w:r>
        <w:rPr>
          <w:rtl w:val="true"/>
        </w:rPr>
        <w:t xml:space="preserve">, </w:t>
      </w:r>
      <w:r>
        <w:rPr>
          <w:rtl w:val="true"/>
        </w:rPr>
        <w:t>כאשר הנאשם שומר בחזקתו את הנשק עד היום מסוכנותו לחברה חמורה שבעתיים</w:t>
      </w:r>
      <w:r>
        <w:rPr>
          <w:rtl w:val="true"/>
        </w:rPr>
        <w:t>.</w:t>
      </w:r>
    </w:p>
    <w:p>
      <w:pPr>
        <w:pStyle w:val="Normal"/>
        <w:spacing w:lineRule="auto" w:line="360"/>
        <w:ind w:end="0"/>
        <w:jc w:val="both"/>
        <w:rPr/>
      </w:pPr>
      <w:r>
        <w:rPr>
          <w:rtl w:val="true"/>
        </w:rPr>
      </w:r>
    </w:p>
    <w:p>
      <w:pPr>
        <w:pStyle w:val="Normal"/>
        <w:numPr>
          <w:ilvl w:val="0"/>
          <w:numId w:val="1"/>
        </w:numPr>
        <w:spacing w:lineRule="auto" w:line="360"/>
        <w:ind w:hanging="360" w:start="720" w:end="0"/>
        <w:jc w:val="both"/>
        <w:rPr/>
      </w:pPr>
      <w:r>
        <w:rPr>
          <w:rtl w:val="true"/>
        </w:rPr>
        <w:t>לא מצאתי לנכון לפסוק פיצוי למתלוננים כמבוקש ע</w:t>
      </w:r>
      <w:r>
        <w:rPr>
          <w:rtl w:val="true"/>
        </w:rPr>
        <w:t>"</w:t>
      </w:r>
      <w:r>
        <w:rPr>
          <w:rtl w:val="true"/>
        </w:rPr>
        <w:t>י המאשימה</w:t>
      </w:r>
      <w:r>
        <w:rPr>
          <w:rtl w:val="true"/>
        </w:rPr>
        <w:t xml:space="preserve">, </w:t>
      </w:r>
      <w:r>
        <w:rPr>
          <w:rtl w:val="true"/>
        </w:rPr>
        <w:t>לא הוכח כי נגרם נזק למתלוננים לפי האישום הראשון</w:t>
      </w:r>
      <w:r>
        <w:rPr>
          <w:rtl w:val="true"/>
        </w:rPr>
        <w:t xml:space="preserve">, </w:t>
      </w:r>
      <w:r>
        <w:rPr>
          <w:rtl w:val="true"/>
        </w:rPr>
        <w:t xml:space="preserve">ומר אבו חשיש שרכבו נפגע הבהיר בעדותו </w:t>
      </w:r>
      <w:r>
        <w:rPr>
          <w:rtl w:val="true"/>
        </w:rPr>
        <w:t>(</w:t>
      </w:r>
      <w:r>
        <w:rPr>
          <w:rtl w:val="true"/>
        </w:rPr>
        <w:t>עמ</w:t>
      </w:r>
      <w:r>
        <w:rPr>
          <w:rtl w:val="true"/>
        </w:rPr>
        <w:t xml:space="preserve">' </w:t>
      </w:r>
      <w:r>
        <w:rPr/>
        <w:t>73</w:t>
      </w:r>
      <w:r>
        <w:rPr>
          <w:rtl w:val="true"/>
        </w:rPr>
        <w:t xml:space="preserve"> </w:t>
      </w:r>
      <w:r>
        <w:rPr>
          <w:rtl w:val="true"/>
        </w:rPr>
        <w:t xml:space="preserve">שורה </w:t>
      </w:r>
      <w:r>
        <w:rPr/>
        <w:t>4</w:t>
      </w:r>
      <w:r>
        <w:rPr>
          <w:rtl w:val="true"/>
        </w:rPr>
        <w:t xml:space="preserve">) </w:t>
      </w:r>
      <w:r>
        <w:rPr>
          <w:rtl w:val="true"/>
        </w:rPr>
        <w:t>כי הוא מוותר על קבלת פיצוי</w:t>
      </w:r>
      <w:r>
        <w:rPr>
          <w:rtl w:val="true"/>
        </w:rPr>
        <w:t>.</w:t>
      </w:r>
    </w:p>
    <w:p>
      <w:pPr>
        <w:pStyle w:val="Normal"/>
        <w:spacing w:lineRule="auto" w:line="360"/>
        <w:ind w:start="360" w:end="0"/>
        <w:jc w:val="both"/>
        <w:rPr/>
      </w:pPr>
      <w:r>
        <w:rPr>
          <w:rtl w:val="true"/>
        </w:rPr>
      </w:r>
    </w:p>
    <w:p>
      <w:pPr>
        <w:pStyle w:val="Normal"/>
        <w:spacing w:lineRule="auto" w:line="360"/>
        <w:ind w:firstLine="360" w:start="360" w:end="0"/>
        <w:jc w:val="both"/>
        <w:rPr>
          <w:u w:val="single"/>
        </w:rPr>
      </w:pPr>
      <w:r>
        <w:rPr>
          <w:u w:val="single"/>
          <w:rtl w:val="true"/>
        </w:rPr>
        <w:t>סיכום</w:t>
      </w:r>
    </w:p>
    <w:p>
      <w:pPr>
        <w:pStyle w:val="Normal"/>
        <w:numPr>
          <w:ilvl w:val="0"/>
          <w:numId w:val="1"/>
        </w:numPr>
        <w:spacing w:lineRule="auto" w:line="360"/>
        <w:ind w:hanging="360" w:start="720" w:end="0"/>
        <w:jc w:val="both"/>
        <w:rPr/>
      </w:pPr>
      <w:r>
        <w:rPr>
          <w:rtl w:val="true"/>
        </w:rPr>
        <w:t>לאור כל האמור לעיל הנני גוזר על הנאשם את העונשים כדלקמן</w:t>
      </w:r>
      <w:r>
        <w:rPr>
          <w:rtl w:val="true"/>
        </w:rPr>
        <w:t>:</w:t>
      </w:r>
    </w:p>
    <w:p>
      <w:pPr>
        <w:pStyle w:val="Normal"/>
        <w:spacing w:lineRule="auto" w:line="360"/>
        <w:ind w:start="720" w:end="0"/>
        <w:jc w:val="both"/>
        <w:rPr/>
      </w:pPr>
      <w:r>
        <w:rPr>
          <w:u w:val="single"/>
        </w:rPr>
        <w:t>60</w:t>
      </w:r>
      <w:r>
        <w:rPr>
          <w:rtl w:val="true"/>
        </w:rPr>
        <w:t xml:space="preserve"> </w:t>
      </w:r>
      <w:r>
        <w:rPr>
          <w:rtl w:val="true"/>
        </w:rPr>
        <w:t xml:space="preserve">חודשי מאסר מתוכם </w:t>
      </w:r>
      <w:r>
        <w:rPr>
          <w:u w:val="single"/>
        </w:rPr>
        <w:t>50</w:t>
      </w:r>
      <w:r>
        <w:rPr>
          <w:rtl w:val="true"/>
        </w:rPr>
        <w:t xml:space="preserve"> </w:t>
      </w:r>
      <w:r>
        <w:rPr>
          <w:rtl w:val="true"/>
        </w:rPr>
        <w:t>חודשי מאסר בפועל החל מיום מעצרו</w:t>
      </w:r>
      <w:r>
        <w:rPr>
          <w:rtl w:val="true"/>
        </w:rPr>
        <w:t xml:space="preserve">- </w:t>
      </w:r>
      <w:r>
        <w:rPr/>
        <w:t>8.12.09</w:t>
      </w:r>
      <w:r>
        <w:rPr>
          <w:rtl w:val="true"/>
        </w:rPr>
        <w:t xml:space="preserve"> </w:t>
      </w:r>
      <w:r>
        <w:rPr>
          <w:rtl w:val="true"/>
        </w:rPr>
        <w:t>והיתרה</w:t>
      </w:r>
      <w:r>
        <w:rPr>
          <w:rtl w:val="true"/>
        </w:rPr>
        <w:t xml:space="preserve">- </w:t>
      </w:r>
      <w:r>
        <w:rPr>
          <w:u w:val="single"/>
        </w:rPr>
        <w:t>10</w:t>
      </w:r>
      <w:r>
        <w:rPr>
          <w:rtl w:val="true"/>
        </w:rPr>
        <w:t xml:space="preserve"> </w:t>
      </w:r>
      <w:bookmarkStart w:id="18" w:name="OLE_LINK2"/>
      <w:bookmarkStart w:id="19" w:name="OLE_LINK1"/>
      <w:r>
        <w:rPr>
          <w:rtl w:val="true"/>
        </w:rPr>
        <w:t xml:space="preserve">חודשי </w:t>
      </w:r>
      <w:r>
        <w:rPr>
          <w:rtl w:val="true"/>
        </w:rPr>
        <w:t xml:space="preserve">מאסר </w:t>
      </w:r>
      <w:r>
        <w:rPr>
          <w:rtl w:val="true"/>
        </w:rPr>
        <w:t xml:space="preserve">על תנאי </w:t>
      </w:r>
      <w:r>
        <w:rPr>
          <w:rtl w:val="true"/>
        </w:rPr>
        <w:t xml:space="preserve">אשר יופעל אם הנאשם יעבור בתוך שלוש שנים מיום שחרורו ממאסר כל עבירה </w:t>
      </w:r>
      <w:r>
        <w:rPr>
          <w:rtl w:val="true"/>
        </w:rPr>
        <w:t>מעבירות בהן הורשע</w:t>
      </w:r>
      <w:bookmarkEnd w:id="18"/>
      <w:bookmarkEnd w:id="19"/>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 xml:space="preserve">הנני מפעיל במצטבר את העונש של </w:t>
      </w:r>
      <w:r>
        <w:rPr>
          <w:u w:val="single"/>
        </w:rPr>
        <w:t>3</w:t>
      </w:r>
      <w:r>
        <w:rPr>
          <w:rtl w:val="true"/>
        </w:rPr>
        <w:t xml:space="preserve"> </w:t>
      </w:r>
      <w:r>
        <w:rPr>
          <w:rtl w:val="true"/>
        </w:rPr>
        <w:t>חודשים מאסר על תנאי שהוטל ב</w:t>
      </w:r>
      <w:hyperlink r:id="rId13">
        <w:r>
          <w:rPr>
            <w:rStyle w:val="Hyperlink"/>
            <w:rtl w:val="true"/>
          </w:rPr>
          <w:t>ת</w:t>
        </w:r>
        <w:r>
          <w:rPr>
            <w:rStyle w:val="Hyperlink"/>
            <w:rtl w:val="true"/>
          </w:rPr>
          <w:t>.</w:t>
        </w:r>
        <w:r>
          <w:rPr>
            <w:rStyle w:val="Hyperlink"/>
            <w:rtl w:val="true"/>
          </w:rPr>
          <w:t>פ</w:t>
        </w:r>
        <w:r>
          <w:rPr>
            <w:rStyle w:val="Hyperlink"/>
            <w:rtl w:val="true"/>
          </w:rPr>
          <w:t xml:space="preserve">. </w:t>
        </w:r>
        <w:r>
          <w:rPr>
            <w:rStyle w:val="Hyperlink"/>
          </w:rPr>
          <w:t>12117-09-08</w:t>
        </w:r>
      </w:hyperlink>
      <w:r>
        <w:rPr>
          <w:rtl w:val="true"/>
        </w:rPr>
        <w:t xml:space="preserve"> </w:t>
      </w:r>
      <w:r>
        <w:rPr>
          <w:rtl w:val="true"/>
        </w:rPr>
        <w:t>של בית המשפט השלום בנצרת כך שבסה</w:t>
      </w:r>
      <w:r>
        <w:rPr>
          <w:rtl w:val="true"/>
        </w:rPr>
        <w:t>"</w:t>
      </w:r>
      <w:r>
        <w:rPr>
          <w:rtl w:val="true"/>
        </w:rPr>
        <w:t xml:space="preserve">כ ירצה הנאשם עונש של </w:t>
      </w:r>
      <w:r>
        <w:rPr>
          <w:u w:val="single"/>
        </w:rPr>
        <w:t>53</w:t>
      </w:r>
      <w:r>
        <w:rPr>
          <w:rtl w:val="true"/>
        </w:rPr>
        <w:t xml:space="preserve"> </w:t>
      </w:r>
      <w:r>
        <w:rPr>
          <w:rtl w:val="true"/>
        </w:rPr>
        <w:t xml:space="preserve">חודשי מאסר בפועל החל מיום </w:t>
      </w:r>
      <w:r>
        <w:rPr/>
        <w:t>8.12.09</w:t>
      </w:r>
      <w:r>
        <w:rPr>
          <w:rtl w:val="true"/>
        </w:rPr>
        <w:t xml:space="preserve"> </w:t>
      </w:r>
      <w:r>
        <w:rPr>
          <w:rtl w:val="true"/>
        </w:rPr>
        <w:t>ו</w:t>
      </w:r>
      <w:r>
        <w:rPr>
          <w:rtl w:val="true"/>
        </w:rPr>
        <w:t>-</w:t>
      </w:r>
      <w:r>
        <w:rPr>
          <w:u w:val="single"/>
        </w:rPr>
        <w:t>10</w:t>
      </w:r>
      <w:r>
        <w:rPr>
          <w:rtl w:val="true"/>
        </w:rPr>
        <w:t xml:space="preserve"> </w:t>
      </w:r>
      <w:r>
        <w:rPr>
          <w:rtl w:val="true"/>
        </w:rPr>
        <w:t xml:space="preserve">חודשי </w:t>
      </w:r>
      <w:r>
        <w:rPr>
          <w:rtl w:val="true"/>
        </w:rPr>
        <w:t xml:space="preserve">מאסר </w:t>
      </w:r>
      <w:r>
        <w:rPr>
          <w:rtl w:val="true"/>
        </w:rPr>
        <w:t xml:space="preserve">על תנאי </w:t>
      </w:r>
      <w:r>
        <w:rPr>
          <w:rtl w:val="true"/>
        </w:rPr>
        <w:t xml:space="preserve">אשר יופעל אם הנאשם יעבור בתוך שלוש שנים מיום שחרורו ממאסר כל עבירה </w:t>
      </w:r>
      <w:r>
        <w:rPr>
          <w:rtl w:val="true"/>
        </w:rPr>
        <w:t>מעבירות בהן הורשע</w:t>
      </w:r>
      <w:r>
        <w:rPr>
          <w:rtl w:val="true"/>
        </w:rPr>
        <w:t>.</w:t>
      </w:r>
    </w:p>
    <w:p>
      <w:pPr>
        <w:pStyle w:val="Normal"/>
        <w:spacing w:lineRule="auto" w:line="360"/>
        <w:ind w:start="720" w:end="0"/>
        <w:jc w:val="both"/>
        <w:rPr/>
      </w:pPr>
      <w:r>
        <w:rPr>
          <w:rtl w:val="true"/>
        </w:rPr>
      </w:r>
    </w:p>
    <w:p>
      <w:pPr>
        <w:pStyle w:val="Normal"/>
        <w:numPr>
          <w:ilvl w:val="0"/>
          <w:numId w:val="1"/>
        </w:numPr>
        <w:spacing w:lineRule="auto" w:line="360"/>
        <w:ind w:hanging="360" w:start="720" w:end="0"/>
        <w:jc w:val="both"/>
        <w:rPr/>
      </w:pPr>
      <w:r>
        <w:rPr>
          <w:rtl w:val="true"/>
        </w:rPr>
        <w:t xml:space="preserve">זכות ערעור לבית המשפט העליון תוך </w:t>
      </w:r>
      <w:r>
        <w:rPr/>
        <w:t>45</w:t>
      </w:r>
      <w:r>
        <w:rPr>
          <w:rtl w:val="true"/>
        </w:rPr>
        <w:t xml:space="preserve"> </w:t>
      </w:r>
      <w:r>
        <w:rPr>
          <w:rtl w:val="true"/>
        </w:rPr>
        <w:t>יום מהיום</w:t>
      </w:r>
      <w:r>
        <w:rPr>
          <w:rtl w:val="true"/>
        </w:rPr>
        <w:t>.</w:t>
      </w:r>
    </w:p>
    <w:p>
      <w:pPr>
        <w:pStyle w:val="Normal"/>
        <w:spacing w:lineRule="auto" w:line="360"/>
        <w:ind w:end="0"/>
        <w:jc w:val="both"/>
        <w:rPr>
          <w:rStyle w:val="default"/>
        </w:rPr>
      </w:pPr>
      <w:r>
        <w:rPr>
          <w:rtl w:val="true"/>
        </w:rPr>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ניתן והודע היום י</w:t>
      </w:r>
      <w:r>
        <w:rPr>
          <w:b/>
          <w:bCs/>
          <w:rtl w:val="true"/>
        </w:rPr>
        <w:t>"</w:t>
      </w:r>
      <w:r>
        <w:rPr>
          <w:b/>
          <w:b/>
          <w:bCs/>
          <w:rtl w:val="true"/>
        </w:rPr>
        <w:t>ח תמוז תש</w:t>
      </w:r>
      <w:r>
        <w:rPr>
          <w:b/>
          <w:bCs/>
          <w:rtl w:val="true"/>
        </w:rPr>
        <w:t>"</w:t>
      </w:r>
      <w:r>
        <w:rPr>
          <w:b/>
          <w:b/>
          <w:bCs/>
          <w:rtl w:val="true"/>
        </w:rPr>
        <w:t>ע</w:t>
      </w:r>
      <w:r>
        <w:rPr>
          <w:b/>
          <w:bCs/>
          <w:rtl w:val="true"/>
        </w:rPr>
        <w:t xml:space="preserve">, </w:t>
      </w:r>
      <w:r>
        <w:rPr>
          <w:b/>
          <w:bCs/>
        </w:rPr>
        <w:t>30/06/2010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אברהם</w:t>
            </w:r>
            <w:r>
              <w:rPr>
                <w:b/>
                <w:b/>
                <w:bCs/>
                <w:rtl w:val="true"/>
              </w:rPr>
              <w:t xml:space="preserve"> </w:t>
            </w:r>
            <w:r>
              <w:rPr>
                <w:b/>
                <w:b/>
                <w:bCs/>
                <w:rtl w:val="true"/>
              </w:rPr>
              <w:t>אליקים</w:t>
            </w:r>
            <w:r>
              <w:rPr>
                <w:b/>
                <w:bCs/>
                <w:rtl w:val="true"/>
              </w:rPr>
              <w:t xml:space="preserve">, </w:t>
            </w:r>
            <w:r>
              <w:rPr>
                <w:b/>
                <w:b/>
                <w:bCs/>
                <w:rtl w:val="true"/>
              </w:rPr>
              <w:t>שופט</w:t>
            </w:r>
          </w:p>
        </w:tc>
      </w:tr>
    </w:tbl>
    <w:p>
      <w:pPr>
        <w:pStyle w:val="Normal"/>
        <w:ind w:end="0"/>
        <w:jc w:val="end"/>
        <w:rPr/>
      </w:pPr>
      <w:r>
        <w:rPr>
          <w:rtl w:val="true"/>
        </w:rPr>
      </w:r>
    </w:p>
    <w:p>
      <w:pPr>
        <w:pStyle w:val="Normal"/>
        <w:spacing w:lineRule="auto" w:line="360"/>
        <w:ind w:end="0"/>
        <w:jc w:val="center"/>
        <w:rPr/>
      </w:pPr>
      <w:r>
        <w:rPr>
          <w:rtl w:val="true"/>
        </w:rPr>
      </w:r>
    </w:p>
    <w:p>
      <w:pPr>
        <w:pStyle w:val="Normal"/>
        <w:spacing w:lineRule="auto" w:line="360"/>
        <w:ind w:end="0"/>
        <w:jc w:val="both"/>
        <w:rPr/>
      </w:pPr>
      <w:r>
        <w:rPr>
          <w:rtl w:val="true"/>
        </w:rPr>
      </w:r>
    </w:p>
    <w:p>
      <w:pPr>
        <w:pStyle w:val="Normal"/>
        <w:spacing w:lineRule="auto" w:line="360"/>
        <w:ind w:start="360" w:end="0"/>
        <w:jc w:val="both"/>
        <w:rPr/>
      </w:pPr>
      <w:r>
        <w:rPr>
          <w:rtl w:val="true"/>
        </w:rPr>
      </w:r>
    </w:p>
    <w:p>
      <w:pPr>
        <w:pStyle w:val="Normal"/>
        <w:spacing w:lineRule="auto" w:line="360"/>
        <w:ind w:start="360"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start="360" w:end="0"/>
        <w:jc w:val="both"/>
        <w:rPr>
          <w:rStyle w:val="default"/>
          <w:color w:val="FFFFFF"/>
          <w:sz w:val="2"/>
          <w:szCs w:val="2"/>
        </w:rPr>
      </w:pPr>
      <w:r>
        <w:rPr>
          <w:rtl w:val="true"/>
        </w:rPr>
      </w:r>
    </w:p>
    <w:p>
      <w:pPr>
        <w:pStyle w:val="Normal"/>
        <w:spacing w:lineRule="auto" w:line="360"/>
        <w:ind w:start="360" w:end="0"/>
        <w:jc w:val="both"/>
        <w:rPr/>
      </w:pPr>
      <w:r>
        <w:rPr>
          <w:rStyle w:val="default"/>
          <w:color w:val="FFFFFF"/>
          <w:sz w:val="2"/>
          <w:szCs w:val="2"/>
        </w:rPr>
        <w:t>5129371</w:t>
      </w:r>
    </w:p>
    <w:p>
      <w:pPr>
        <w:pStyle w:val="Normal"/>
        <w:spacing w:lineRule="auto" w:line="360"/>
        <w:ind w:start="360" w:end="0"/>
        <w:jc w:val="both"/>
        <w:rPr>
          <w:rStyle w:val="default"/>
        </w:rPr>
      </w:pPr>
      <w:r>
        <w:rPr>
          <w:rStyle w:val="default"/>
          <w:color w:val="FFFFFF"/>
          <w:sz w:val="2"/>
          <w:szCs w:val="2"/>
        </w:rPr>
        <w:t>54678313</w:t>
      </w:r>
    </w:p>
    <w:p>
      <w:pPr>
        <w:pStyle w:val="Normal"/>
        <w:spacing w:lineRule="auto" w:line="360"/>
        <w:ind w:start="360" w:end="0"/>
        <w:jc w:val="both"/>
        <w:rPr>
          <w:rStyle w:val="default"/>
        </w:rPr>
      </w:pPr>
      <w:r>
        <w:rPr>
          <w:rtl w:val="true"/>
        </w:rPr>
      </w:r>
    </w:p>
    <w:p>
      <w:pPr>
        <w:pStyle w:val="Normal"/>
        <w:keepNext w:val="true"/>
        <w:spacing w:lineRule="auto" w:line="360"/>
        <w:ind w:end="0"/>
        <w:jc w:val="start"/>
        <w:rPr>
          <w:color w:val="000000"/>
          <w:sz w:val="22"/>
          <w:szCs w:val="22"/>
        </w:rPr>
      </w:pPr>
      <w:r>
        <w:rPr>
          <w:color w:val="000000"/>
          <w:sz w:val="22"/>
          <w:szCs w:val="22"/>
          <w:rtl w:val="true"/>
        </w:rPr>
      </w:r>
    </w:p>
    <w:p>
      <w:pPr>
        <w:pStyle w:val="Normal"/>
        <w:spacing w:lineRule="auto" w:line="360"/>
        <w:ind w:end="0"/>
        <w:jc w:val="both"/>
        <w:rPr>
          <w:color w:val="000000"/>
          <w:sz w:val="22"/>
          <w:szCs w:val="22"/>
        </w:rPr>
      </w:pPr>
      <w:r>
        <w:rPr>
          <w:color w:val="000000"/>
          <w:sz w:val="22"/>
          <w:szCs w:val="22"/>
          <w:rtl w:val="true"/>
        </w:rPr>
      </w:r>
    </w:p>
    <w:p>
      <w:pPr>
        <w:pStyle w:val="Normal"/>
        <w:spacing w:lineRule="auto" w:line="360"/>
        <w:ind w:end="0"/>
        <w:jc w:val="both"/>
        <w:rPr>
          <w:color w:val="FFFFFF"/>
          <w:sz w:val="2"/>
          <w:szCs w:val="2"/>
        </w:rPr>
      </w:pPr>
      <w:r>
        <w:rPr>
          <w:color w:val="FFFFFF"/>
          <w:sz w:val="2"/>
          <w:szCs w:val="2"/>
          <w:rtl w:val="true"/>
        </w:rPr>
      </w:r>
    </w:p>
    <w:p>
      <w:pPr>
        <w:pStyle w:val="Normal"/>
        <w:spacing w:lineRule="auto" w:line="360"/>
        <w:ind w:end="0"/>
        <w:jc w:val="both"/>
        <w:rPr>
          <w:color w:val="FFFFFF"/>
          <w:sz w:val="2"/>
          <w:szCs w:val="2"/>
        </w:rPr>
      </w:pPr>
      <w:r>
        <w:rPr>
          <w:color w:val="FFFFFF"/>
          <w:sz w:val="2"/>
          <w:szCs w:val="2"/>
        </w:rPr>
        <w:t>5129371</w:t>
      </w:r>
    </w:p>
    <w:p>
      <w:pPr>
        <w:pStyle w:val="Normal"/>
        <w:spacing w:lineRule="auto" w:line="360"/>
        <w:ind w:end="0"/>
        <w:jc w:val="both"/>
        <w:rPr/>
      </w:pPr>
      <w:r>
        <w:rPr>
          <w:color w:val="FFFFFF"/>
          <w:sz w:val="2"/>
          <w:szCs w:val="2"/>
        </w:rPr>
        <w:t>54678313</w:t>
      </w:r>
    </w:p>
    <w:p>
      <w:pPr>
        <w:pStyle w:val="Normal"/>
        <w:spacing w:lineRule="auto" w:line="360"/>
        <w:ind w:end="0"/>
        <w:jc w:val="both"/>
        <w:rPr/>
      </w:pPr>
      <w:r>
        <w:rPr>
          <w:rtl w:val="true"/>
        </w:rPr>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אליקים אברהם </w:t>
      </w:r>
      <w:r>
        <w:rPr>
          <w:color w:val="000000"/>
          <w:sz w:val="22"/>
          <w:szCs w:val="22"/>
        </w:rPr>
        <w:t>54678313</w:t>
      </w:r>
      <w:r>
        <w:rPr>
          <w:color w:val="000000"/>
          <w:sz w:val="22"/>
          <w:szCs w:val="22"/>
          <w:rtl w:val="true"/>
        </w:rPr>
        <w:t>-/</w:t>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אסתר</w:t>
      </w:r>
      <w:r>
        <w:rPr>
          <w:rFonts w:ascii="Arial" w:hAnsi="Arial" w:eastAsia="Arial" w:cs="Arial"/>
          <w:sz w:val="28"/>
          <w:sz w:val="28"/>
          <w:szCs w:val="28"/>
          <w:rtl w:val="true"/>
        </w:rPr>
        <w:t xml:space="preserve"> </w:t>
      </w:r>
      <w:r>
        <w:rPr>
          <w:rFonts w:ascii="Arial" w:hAnsi="Arial" w:cs="FrankRuehl"/>
          <w:sz w:val="28"/>
          <w:sz w:val="28"/>
          <w:szCs w:val="28"/>
          <w:rtl w:val="true"/>
        </w:rPr>
        <w:t>אברמוביץ</w:t>
      </w:r>
    </w:p>
    <w:p>
      <w:pPr>
        <w:pStyle w:val="Normal"/>
        <w:ind w:end="0"/>
        <w:jc w:val="start"/>
        <w:rPr>
          <w:color w:val="000000"/>
        </w:rPr>
      </w:pPr>
      <w:r>
        <w:rPr>
          <w:color w:val="000000"/>
          <w:rtl w:val="true"/>
        </w:rPr>
        <w:t>נוסח מסמך זה כפוף לשינויי ניסוח ועריכה</w:t>
      </w:r>
    </w:p>
    <w:p>
      <w:pPr>
        <w:pStyle w:val="Normal"/>
        <w:ind w:end="0"/>
        <w:jc w:val="start"/>
        <w:rPr>
          <w:color w:val="000000"/>
        </w:rPr>
      </w:pPr>
      <w:r>
        <w:rPr>
          <w:color w:val="000000"/>
          <w:rtl w:val="true"/>
        </w:rPr>
      </w:r>
    </w:p>
    <w:p>
      <w:pPr>
        <w:pStyle w:val="Normal"/>
        <w:ind w:end="0"/>
        <w:jc w:val="center"/>
        <w:rPr>
          <w:color w:val="0000FF"/>
          <w:u w:val="single"/>
        </w:rPr>
      </w:pPr>
      <w:r>
        <w:rPr>
          <w:color w:val="000000"/>
          <w:rtl w:val="true"/>
        </w:rPr>
        <w:t>הודעה למנויים על עריכה ושינויים במסמכי פסיקה</w:t>
      </w:r>
      <w:r>
        <w:rPr>
          <w:color w:val="000000"/>
          <w:rtl w:val="true"/>
        </w:rPr>
        <w:t xml:space="preserve">, </w:t>
      </w:r>
      <w:r>
        <w:rPr>
          <w:color w:val="000000"/>
          <w:rtl w:val="true"/>
        </w:rPr>
        <w:t xml:space="preserve">חקיקה ועוד באתר נבו </w:t>
      </w:r>
      <w:r>
        <w:rPr>
          <w:color w:val="000000"/>
          <w:rtl w:val="true"/>
        </w:rPr>
        <w:t xml:space="preserve">- </w:t>
      </w:r>
      <w:r>
        <w:rPr>
          <w:color w:val="000000"/>
          <w:rtl w:val="true"/>
        </w:rPr>
        <w:t>הקש כאן</w:t>
      </w:r>
    </w:p>
    <w:p>
      <w:pPr>
        <w:pStyle w:val="Normal"/>
        <w:ind w:end="0"/>
        <w:jc w:val="start"/>
        <w:rPr>
          <w:color w:val="0000FF"/>
          <w:u w:val="single"/>
        </w:rPr>
      </w:pPr>
      <w:r>
        <w:rPr>
          <w:color w:val="0000FF"/>
          <w:u w:val="single"/>
          <w:rtl w:val="true"/>
        </w:rPr>
      </w:r>
    </w:p>
    <w:sectPr>
      <w:headerReference w:type="default" r:id="rId14"/>
      <w:footerReference w:type="default" r:id="rId15"/>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Arial TUR">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/Users/liorb/Downloads/study2025-p2/ME-09-12-24376-923.doc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חי</w:t>
    </w:r>
    <w:r>
      <w:rPr>
        <w:color w:val="000000"/>
        <w:sz w:val="22"/>
        <w:szCs w:val="22"/>
        <w:rtl w:val="true"/>
      </w:rPr>
      <w:t xml:space="preserve">') </w:t>
    </w:r>
    <w:r>
      <w:rPr>
        <w:color w:val="000000"/>
        <w:sz w:val="22"/>
        <w:szCs w:val="22"/>
      </w:rPr>
      <w:t>24376-12-09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 xml:space="preserve">מוחמד שלאעטה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default">
    <w:name w:val="default"/>
    <w:basedOn w:val="DefaultParagraphFont"/>
    <w:qFormat/>
    <w:rPr>
      <w:rFonts w:ascii="Times New Roman" w:hAnsi="Times New Roman" w:cs="Times New Roman"/>
      <w:sz w:val="26"/>
      <w:szCs w:val="26"/>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4853939" TargetMode="External"/><Relationship Id="rId3" Type="http://schemas.openxmlformats.org/officeDocument/2006/relationships/hyperlink" Target="http://www.nevo.co.il/case/4853939" TargetMode="External"/><Relationship Id="rId4" Type="http://schemas.openxmlformats.org/officeDocument/2006/relationships/hyperlink" Target="http://www.nevo.co.il/case/4853939" TargetMode="External"/><Relationship Id="rId5" Type="http://schemas.openxmlformats.org/officeDocument/2006/relationships/hyperlink" Target="http://www.nevo.co.il/case/4853939" TargetMode="External"/><Relationship Id="rId6" Type="http://schemas.openxmlformats.org/officeDocument/2006/relationships/hyperlink" Target="http://www.nevo.co.il/case/6045465"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9" Type="http://schemas.openxmlformats.org/officeDocument/2006/relationships/hyperlink" Target="http://www.nevo.co.il/case/5699762" TargetMode="External"/><Relationship Id="rId10" Type="http://schemas.openxmlformats.org/officeDocument/2006/relationships/hyperlink" Target="http://www.nevo.co.il/case/5920165" TargetMode="External"/><Relationship Id="rId11" Type="http://schemas.openxmlformats.org/officeDocument/2006/relationships/hyperlink" Target="http://www.nevo.co.il/case/5920165" TargetMode="External"/><Relationship Id="rId12" Type="http://schemas.openxmlformats.org/officeDocument/2006/relationships/hyperlink" Target="http://www.nevo.co.il/case/5704669" TargetMode="External"/><Relationship Id="rId13" Type="http://schemas.openxmlformats.org/officeDocument/2006/relationships/hyperlink" Target="http://www.nevo.co.il/case/470637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2016-02-08T11:47:00Z</dcterms:created>
  <dc:creator> </dc:creator>
  <dc:description/>
  <cp:keywords/>
  <dc:language>en-IL</dc:language>
  <cp:lastModifiedBy>hofit</cp:lastModifiedBy>
  <dcterms:modified xsi:type="dcterms:W3CDTF">2016-02-08T11:47:00Z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מוחמד שלאעטה </vt:lpwstr>
  </property>
  <property fmtid="{D5CDD505-2E9C-101B-9397-08002B2CF9AE}" pid="4" name="CASESLISTTMP1">
    <vt:lpwstr>4853939:4;6045465;5699762;5920165:2;5704669;4706376</vt:lpwstr>
  </property>
  <property fmtid="{D5CDD505-2E9C-101B-9397-08002B2CF9AE}" pid="5" name="CITY">
    <vt:lpwstr>חי'</vt:lpwstr>
  </property>
  <property fmtid="{D5CDD505-2E9C-101B-9397-08002B2CF9AE}" pid="6" name="DATE">
    <vt:lpwstr>20100630</vt:lpwstr>
  </property>
  <property fmtid="{D5CDD505-2E9C-101B-9397-08002B2CF9AE}" pid="7" name="DELEMATA">
    <vt:lpwstr>http://elyon2.court.gov.il/scripts9/mgrqispi93.dll?Appname=eScourt&amp;Prgname=GetFileDetails&amp;Arguments=-N2010-006022-0</vt:lpwstr>
  </property>
  <property fmtid="{D5CDD505-2E9C-101B-9397-08002B2CF9AE}" pid="8" name="ISABSTRACT">
    <vt:lpwstr>Y</vt:lpwstr>
  </property>
  <property fmtid="{D5CDD505-2E9C-101B-9397-08002B2CF9AE}" pid="9" name="JUDGE">
    <vt:lpwstr>אליקים אברהם</vt:lpwstr>
  </property>
  <property fmtid="{D5CDD505-2E9C-101B-9397-08002B2CF9AE}" pid="10" name="LAWLISTTMP1">
    <vt:lpwstr>70301</vt:lpwstr>
  </property>
  <property fmtid="{D5CDD505-2E9C-101B-9397-08002B2CF9AE}" pid="11" name="LAWYER">
    <vt:lpwstr>ערן בר אור;כנאענה</vt:lpwstr>
  </property>
  <property fmtid="{D5CDD505-2E9C-101B-9397-08002B2CF9AE}" pid="12" name="LINKK1">
    <vt:lpwstr>http://www.nevo.co.il/Psika_word/mechozi/ME-09-12-24376-699.doc;להחלטה במחוזי (10-02-2010)#תפ 24376-12-09 מדינת ישראל נ' מוחמד שלאעטה#שופטים: אליקים אברהם#עו''ד: גב' שרון אייל, כנעאנה</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http://www.nevo.co.il/Psika_word/mechozi/ME-09-12-24376-103.doc;להחלטה במחוזי (24-02-2010)#תפ 24376-12-09 מדינת ישראל נ' מוחמד שלאעטה #שופטים: אליקים אברהם#עו''ד: שרון אייל, כנאענה</vt:lpwstr>
  </property>
  <property fmtid="{D5CDD505-2E9C-101B-9397-08002B2CF9AE}" pid="17" name="LINKK3">
    <vt:lpwstr>http://www.nevo.co.il/Psika_word/mechozi/ME-09-12-24376-310.doc;להחלטה במחוזי (16-03-2010)#תפ 24376-12-09 מדינת ישראל נ' מוחמד שלאעטה#שופטים: אליקים אברהם#עו''ד: אייל, כנאענה</vt:lpwstr>
  </property>
  <property fmtid="{D5CDD505-2E9C-101B-9397-08002B2CF9AE}" pid="18" name="LINKK4">
    <vt:lpwstr>http://www.nevo.co.il/Psika_word/mechozi/ME-09-12-24376-341.doc;להכרעת-דין במחוזי (03-06-2010)#תפ 24376-12-09 מדינת ישראל נ' מוחמד שלאעטה #שופטים: אליקים אברהם#עו''ד: עינב איטסקו, כנאענה</vt:lpwstr>
  </property>
  <property fmtid="{D5CDD505-2E9C-101B-9397-08002B2CF9AE}" pid="19" name="LINKK5">
    <vt:lpwstr>http://www.nevo.co.il/Psika_word/elyon/10060220-d01.doc;להחלטה בעליון (26-09-2011)#עפ 6022/10 מוחמד שלעאטה נ' מדינת ישראל#שופטים: גיא שני</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24376</vt:lpwstr>
  </property>
  <property fmtid="{D5CDD505-2E9C-101B-9397-08002B2CF9AE}" pid="25" name="NEWPARTB">
    <vt:lpwstr>12</vt:lpwstr>
  </property>
  <property fmtid="{D5CDD505-2E9C-101B-9397-08002B2CF9AE}" pid="26" name="NEWPARTC">
    <vt:lpwstr>09</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RemarkFileName">
    <vt:lpwstr>mechozi me 09 12 24376 923 htm</vt:lpwstr>
  </property>
  <property fmtid="{D5CDD505-2E9C-101B-9397-08002B2CF9AE}" pid="36" name="TYPE">
    <vt:lpwstr>2</vt:lpwstr>
  </property>
  <property fmtid="{D5CDD505-2E9C-101B-9397-08002B2CF9AE}" pid="37" name="TYPE_ABS_DATE">
    <vt:lpwstr>390020100630</vt:lpwstr>
  </property>
  <property fmtid="{D5CDD505-2E9C-101B-9397-08002B2CF9AE}" pid="38" name="TYPE_N_DATE">
    <vt:lpwstr>39020100630</vt:lpwstr>
  </property>
  <property fmtid="{D5CDD505-2E9C-101B-9397-08002B2CF9AE}" pid="39" name="VOLUME">
    <vt:lpwstr/>
  </property>
  <property fmtid="{D5CDD505-2E9C-101B-9397-08002B2CF9AE}" pid="40" name="WORDNUMPAGES">
    <vt:lpwstr>5</vt:lpwstr>
  </property>
</Properties>
</file>