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24614-07-23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רחמן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י </w:t>
            </w:r>
            <w:r>
              <w:rPr>
                <w:rFonts w:ascii="Arial" w:hAnsi="Arial" w:cs="Arial"/>
                <w:rtl w:val="true"/>
              </w:rPr>
              <w:t>פרקליטות מחוז ירושלים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ואסים עבדאל רחמן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מאזן איוב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 אישום מתוקן המייחס לו 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בצירוף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 והחזקת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ascii="David" w:hAnsi="David"/>
          <w:rtl w:val="true"/>
        </w:rPr>
        <w:t>על פי הנטען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28.6.2023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 תקופה שא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רכה 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בביתו את כלי הנשק ואביזרי הנשק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אקדח חצי אוטומטי </w:t>
      </w:r>
      <w:r>
        <w:rPr>
          <w:rFonts w:cs="Calibri" w:ascii="Calibri" w:hAnsi="Calibri"/>
        </w:rPr>
        <w:t>GLOCK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תוצרת אוסטריה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Calibri" w:ascii="Calibri" w:hAnsi="Calibri"/>
        </w:rPr>
        <w:t>CUY815US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הערה – על הצינה והקנה מספר סידורי שונה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אקדח חצי אוטומטי </w:t>
      </w:r>
      <w:r>
        <w:rPr>
          <w:rFonts w:cs="Calibri" w:ascii="Calibri" w:hAnsi="Calibri"/>
        </w:rPr>
        <w:t>GLOCK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תוצרת אוסטריה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cs="Calibri" w:ascii="Calibri" w:hAnsi="Calibri"/>
        </w:rPr>
        <w:t>gen</w:t>
      </w:r>
      <w:r>
        <w:rPr>
          <w:rFonts w:cs="David" w:ascii="David" w:hAnsi="David"/>
        </w:rPr>
        <w:t xml:space="preserve"> 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Calibri" w:ascii="Calibri" w:hAnsi="Calibri"/>
        </w:rPr>
        <w:t>BACF474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הערה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 הנשק מורכב התקן לירי באוטומט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קופסאות תחמושת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בהן </w:t>
      </w:r>
      <w:r>
        <w:rPr>
          <w:rFonts w:cs="David" w:ascii="David" w:hAnsi="David"/>
        </w:rPr>
        <w:t>255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26.4.2024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הוגש תסקיר מטעם שירות המבחן בו תואר הנאשם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לתינוקת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מעצרו התגורר עם אשתו בביתם באבו גוש ועבד כמנהל שירות בחברת אוטובוסים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גדל בבית חם ואוהב להורים ואחים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בגרות מלאה ובעל תעודת מקצוע של הנדסאי מכונות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שיתף כי נישא לאשתו לפני כשנתיים ויחסיהם טובים ומכבדים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מתנדב במשטרת ישראל כשוטר סיור מאז 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תחילה הנאשם נרתע משהותו בבית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כעת הסתגל לתנאי מעצרו ואף החל לעבור הליך טיפולי בין כתליו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נוטל חלק בתוכניות חינוך ותוכניות טיפוליות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חש בושה ממשפחתו ואף ביקש בשלב כלשהו להשתחרר למעצר בית בבית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להתרשמותו של שירות המבחן מקום הפיקוח קרוב גאוגרפית למקום בו בוצעה העבירה והדבר יטשטש לנאשם את חומרת העבירה וישיבו ככל הנראה למקום בעל קשרים בעייתיים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לעבירות מסר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הן בוצעו על רקע עזרה לחבר אשר ביקש ממנו לשמור על כלי הנשק אשר הוחזקו באופן לא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 דימוי עצמי נמוך ועל כן הוא מנסה לרצות את סביבתו מבלי לשקול לעומק את השלכות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טשטש מחומרת העבירות ולא נטל אחריות מלאה על המעשים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צמח במסגרת משפחתית בעלת מערכת ערכים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רצון לניהול חיים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צמצם מחומרת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שביטא הבנה ואחריות לחומרת המעשה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המליץ להטיל על הנאשם מאסר בפועל לצד שילובו במחלקה טיפולית על מנת שיוכל להשלים את הליך השיקום בו החל במעצר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תמצית טיעוני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בטיעוניה לנסיבות האירוע כמפורט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פוטנציאל הסיכון הטמון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כלי נשק עלול לשמש לביצוע עבירות פליליות או אף ביצוע מעשי טרור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בנסיבות בהן הנאשם התנדב למשטרת ישראל החל משנת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עליו להיות מודע ביתר 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לסיכונים הכרוכים בהחזקת 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לא נטל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השליכה על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הפחית מחומרתם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רואה עצמו קורבן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לפסיקה אותה הגישה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לקבוע מתחם עונש הולם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להביא במסגרת שיקולי הענישה את 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רישום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וחיסכון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עונשו ביקשה לקבוע בתחתית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שיוטלו עליו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לנסיבותיו האישיות של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היותו 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לתינוקת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והיותו נעדר רישום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גדל בבית נורמטיבי וגילה יציבות תעסוקתית משך שנים רבות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נטל אחריות בבית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ושיתף פעולה עם שירות המבחן וכן בהליך הטיפולי במסגרת הליכי המעצר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את המתחם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עונשו של הנאשם לקבוע בתחתיתו של מתחם זה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הערך החברתי המוגן העומד בבסיס עבירות הנשק הינו </w:t>
      </w:r>
      <w:r>
        <w:rPr>
          <w:rFonts w:ascii="David" w:hAnsi="David"/>
          <w:rtl w:val="true"/>
        </w:rPr>
        <w:t>ידוע והוא נעוץ ב</w:t>
      </w:r>
      <w:r>
        <w:rPr>
          <w:rFonts w:ascii="David" w:hAnsi="David"/>
          <w:rtl w:val="true"/>
        </w:rPr>
        <w:t>הגנה 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גלום סיכון רב לשימוש בנשק שאינו חוקי על ידי המחזיק בו לצורך ביצוען של עבירות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עלול להגיע לגורמים עברייניים העוסקים בפעילות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אף חמור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לביצוע עבירות ביטחון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רף החומרה שבמעשה הינו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המדובר בהחזקה של </w:t>
      </w:r>
      <w:r>
        <w:rPr>
          <w:rFonts w:ascii="David" w:hAnsi="David"/>
          <w:rtl w:val="true"/>
        </w:rPr>
        <w:t xml:space="preserve">שני אקדחים מסוג </w:t>
      </w:r>
      <w:r>
        <w:rPr>
          <w:rFonts w:ascii="David" w:hAnsi="David"/>
          <w:rtl w:val="true"/>
        </w:rPr>
        <w:t xml:space="preserve">חצי אוטומטי </w:t>
      </w:r>
      <w:r>
        <w:rPr>
          <w:rFonts w:cs="Calibri" w:ascii="Calibri" w:hAnsi="Calibri"/>
        </w:rPr>
        <w:t>GLOCK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תוצרת אוסטריה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ascii="David" w:hAnsi="David"/>
          <w:rtl w:val="true"/>
        </w:rPr>
        <w:t xml:space="preserve"> שבכוחם להמית אדם וכמות משמעותית של </w:t>
      </w:r>
      <w:r>
        <w:rPr>
          <w:rFonts w:cs="David" w:ascii="David" w:hAnsi="David"/>
        </w:rPr>
        <w:t>255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25.8.2020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ציין בית המשפט את הדברים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לגופם של דברים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למרבה הצער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/>
          <w:sz w:val="22"/>
          <w:sz w:val="22"/>
          <w:szCs w:val="22"/>
          <w:rtl w:val="true"/>
        </w:rPr>
        <w:t>כתוצאה מכך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 xml:space="preserve">על מנת לשדר מסר מרתיע מפני ביצוען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ascii="David" w:hAnsi="David"/>
          <w:sz w:val="22"/>
          <w:sz w:val="22"/>
          <w:szCs w:val="22"/>
          <w:rtl w:val="true"/>
        </w:rPr>
        <w:t>ראו למשל ב</w:t>
      </w:r>
      <w:hyperlink r:id="rId12"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</w:rPr>
          <w:t>4406/19</w:t>
        </w:r>
      </w:hyperlink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סובח</w:t>
      </w:r>
      <w:r>
        <w:rPr>
          <w:rFonts w:cs="David" w:ascii="David" w:hAnsi="David"/>
          <w:b/>
          <w:bCs/>
          <w:sz w:val="22"/>
          <w:szCs w:val="22"/>
          <w:rtl w:val="true"/>
        </w:rPr>
        <w:t>,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 xml:space="preserve">פסקאות </w:t>
      </w:r>
      <w:r>
        <w:rPr>
          <w:rFonts w:cs="David" w:ascii="David" w:hAnsi="David"/>
          <w:sz w:val="22"/>
          <w:szCs w:val="22"/>
        </w:rPr>
        <w:t>16</w:t>
      </w:r>
      <w:r>
        <w:rPr>
          <w:rFonts w:cs="David" w:ascii="David" w:hAnsi="David"/>
          <w:sz w:val="22"/>
          <w:szCs w:val="22"/>
          <w:rtl w:val="true"/>
        </w:rPr>
        <w:t>–</w:t>
      </w:r>
      <w:r>
        <w:rPr>
          <w:rFonts w:cs="David" w:ascii="David" w:hAnsi="David"/>
          <w:sz w:val="22"/>
          <w:szCs w:val="22"/>
        </w:rPr>
        <w:t>17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 xml:space="preserve">לחוות דעתי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ascii="David" w:hAnsi="David"/>
          <w:sz w:val="22"/>
          <w:sz w:val="22"/>
          <w:szCs w:val="22"/>
          <w:rtl w:val="true"/>
        </w:rPr>
        <w:t xml:space="preserve">נבו </w:t>
      </w:r>
      <w:r>
        <w:rPr>
          <w:rFonts w:cs="David" w:ascii="David" w:hAnsi="David"/>
          <w:sz w:val="22"/>
          <w:szCs w:val="22"/>
        </w:rPr>
        <w:t>5.11.2019</w:t>
      </w:r>
      <w:r>
        <w:rPr>
          <w:rFonts w:cs="David" w:ascii="David" w:hAnsi="David"/>
          <w:sz w:val="22"/>
          <w:szCs w:val="22"/>
          <w:rtl w:val="true"/>
        </w:rPr>
        <w:t xml:space="preserve">); </w:t>
      </w:r>
      <w:hyperlink r:id="rId13"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</w:rPr>
          <w:t>7344/18</w:t>
        </w:r>
      </w:hyperlink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מג</w:t>
      </w:r>
      <w:r>
        <w:rPr>
          <w:rFonts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יד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sz w:val="22"/>
          <w:szCs w:val="22"/>
        </w:rPr>
        <w:t>10</w:t>
      </w:r>
      <w:r>
        <w:rPr>
          <w:rFonts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/>
          <w:sz w:val="22"/>
          <w:sz w:val="22"/>
          <w:szCs w:val="22"/>
          <w:rtl w:val="true"/>
        </w:rPr>
        <w:t xml:space="preserve">נבו </w:t>
      </w:r>
      <w:r>
        <w:rPr>
          <w:rFonts w:cs="David" w:ascii="David" w:hAnsi="David"/>
          <w:sz w:val="22"/>
          <w:szCs w:val="22"/>
        </w:rPr>
        <w:t>21.10.2018</w:t>
      </w:r>
      <w:r>
        <w:rPr>
          <w:rFonts w:cs="David" w:ascii="David" w:hAnsi="David"/>
          <w:sz w:val="22"/>
          <w:szCs w:val="22"/>
          <w:rtl w:val="true"/>
        </w:rPr>
        <w:t>))".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וראו גם</w:t>
      </w:r>
      <w:r>
        <w:rPr>
          <w:rFonts w:cs="David" w:ascii="David" w:hAnsi="David"/>
          <w:rtl w:val="true"/>
        </w:rPr>
        <w:t xml:space="preserve">: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חרבוש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9.6.2010</w:t>
      </w:r>
      <w:r>
        <w:rPr>
          <w:rFonts w:cs="David" w:ascii="David" w:hAnsi="David"/>
          <w:rtl w:val="true"/>
        </w:rPr>
        <w:t>):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חומרתה של עבירת החזקת הנשק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מקורה בכך שעבירה זאת אינה נעשית לרוב אלא כדי לאפשר ביצוען של עבירות אחרות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שמעצם טבעו של הנשק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כרוכות באלימות או בהפחדה</w:t>
      </w:r>
      <w:r>
        <w:rPr>
          <w:rFonts w:cs="David" w:ascii="David" w:hAnsi="David"/>
          <w:sz w:val="22"/>
          <w:szCs w:val="22"/>
          <w:rtl w:val="true"/>
        </w:rPr>
        <w:t xml:space="preserve">. ... </w:t>
      </w:r>
      <w:r>
        <w:rPr>
          <w:rFonts w:ascii="David" w:hAnsi="David"/>
          <w:sz w:val="22"/>
          <w:sz w:val="22"/>
          <w:szCs w:val="22"/>
          <w:rtl w:val="true"/>
        </w:rPr>
        <w:t>כפי שציינה חברתי הנשיאה ד</w:t>
      </w:r>
      <w:r>
        <w:rPr>
          <w:rFonts w:cs="David" w:ascii="David" w:hAnsi="David"/>
          <w:sz w:val="22"/>
          <w:szCs w:val="22"/>
          <w:rtl w:val="true"/>
        </w:rPr>
        <w:t xml:space="preserve">' </w:t>
      </w:r>
      <w:r>
        <w:rPr>
          <w:rFonts w:ascii="David" w:hAnsi="David"/>
          <w:sz w:val="22"/>
          <w:sz w:val="22"/>
          <w:szCs w:val="22"/>
          <w:rtl w:val="true"/>
        </w:rPr>
        <w:t>ביניש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 xml:space="preserve">מחייבת מתן ביטוי עונשי הולם והחמרה ברמת הענישה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ascii="David" w:hAnsi="David"/>
          <w:sz w:val="22"/>
          <w:sz w:val="22"/>
          <w:szCs w:val="22"/>
          <w:rtl w:val="true"/>
        </w:rPr>
        <w:t>ראו ע</w:t>
      </w: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 xml:space="preserve">פ </w:t>
      </w:r>
      <w:r>
        <w:rPr>
          <w:rFonts w:cs="David" w:ascii="David" w:hAnsi="David"/>
          <w:sz w:val="22"/>
          <w:szCs w:val="22"/>
        </w:rPr>
        <w:t>1332/04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פס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סעיף </w:t>
      </w:r>
      <w:r>
        <w:rPr>
          <w:rFonts w:cs="David" w:ascii="David" w:hAnsi="David"/>
          <w:b/>
          <w:bCs/>
          <w:sz w:val="22"/>
          <w:szCs w:val="22"/>
        </w:rPr>
        <w:t>4</w:t>
      </w:r>
      <w:r>
        <w:rPr>
          <w:rFonts w:cs="David" w:ascii="David" w:hAnsi="David"/>
          <w:sz w:val="22"/>
          <w:szCs w:val="22"/>
          <w:rtl w:val="true"/>
        </w:rPr>
        <w:t xml:space="preserve"> (</w:t>
      </w:r>
      <w:r>
        <w:rPr>
          <w:rFonts w:ascii="David" w:hAnsi="David"/>
          <w:sz w:val="22"/>
          <w:sz w:val="22"/>
          <w:szCs w:val="22"/>
          <w:rtl w:val="true"/>
        </w:rPr>
        <w:t xml:space="preserve">נבו </w:t>
      </w:r>
      <w:r>
        <w:rPr>
          <w:rFonts w:cs="David" w:ascii="David" w:hAnsi="David"/>
          <w:sz w:val="22"/>
          <w:szCs w:val="22"/>
        </w:rPr>
        <w:t>19.4.04</w:t>
      </w:r>
      <w:r>
        <w:rPr>
          <w:rFonts w:cs="David" w:ascii="David" w:hAnsi="David"/>
          <w:sz w:val="22"/>
          <w:szCs w:val="22"/>
          <w:rtl w:val="true"/>
        </w:rPr>
        <w:t xml:space="preserve">)). </w:t>
      </w:r>
      <w:r>
        <w:rPr>
          <w:rFonts w:ascii="David" w:hAnsi="David"/>
          <w:sz w:val="22"/>
          <w:sz w:val="22"/>
          <w:szCs w:val="22"/>
          <w:rtl w:val="true"/>
        </w:rPr>
        <w:t>יש לעשות כן עוד בטרם ייעשה באקדח שימוש קטלני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באמצעות הרחקת המחזיק בו מן החברה לפרק זמן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והעברת מסר מרתיע באמצעות עונש מאסר ממשי לריצוי בפועל</w:t>
      </w:r>
      <w:r>
        <w:rPr>
          <w:rFonts w:cs="David" w:ascii="David" w:hAnsi="David"/>
          <w:sz w:val="22"/>
          <w:szCs w:val="22"/>
          <w:rtl w:val="true"/>
        </w:rPr>
        <w:t>...".</w:t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נדחה ערעור על חומרת עונש של נאשם עליו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רישום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באחזק</w:t>
      </w:r>
      <w:r>
        <w:rPr>
          <w:rFonts w:ascii="David" w:hAnsi="David"/>
          <w:rtl w:val="true"/>
        </w:rPr>
        <w:t>ה של אקח בודד ו</w:t>
      </w:r>
      <w:r>
        <w:rPr>
          <w:rFonts w:ascii="David" w:hAnsi="David"/>
          <w:rtl w:val="true"/>
        </w:rPr>
        <w:t>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."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56305-02-20</w:t>
        </w:r>
      </w:hyperlink>
      <w:r>
        <w:rPr>
          <w:rFonts w:cs="David" w:ascii="David" w:hAnsi="David"/>
          <w:rtl w:val="true"/>
        </w:rPr>
        <w:t xml:space="preserve">‏ </w:t>
      </w:r>
      <w:r>
        <w:rPr>
          <w:rFonts w:ascii="David" w:hAnsi="David"/>
          <w:b/>
          <w:b/>
          <w:bCs/>
          <w:rtl w:val="true"/>
        </w:rPr>
        <w:t>אלקריעאן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18.8.20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נדון נאשם ללא עבר פלילי שברכבו נמצא אקדח ומחסנית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בבית משפט השלום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שבין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ערכאת הערעור הפחיתה את 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מיכאל אדרי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22.02.07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נהג ברכב ונתפס 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הזדהה כאחר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הורשע בהחזקת נשק שלא כדין ובהפרעה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עליו בבית המשפט המחוזי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ערעור המדינה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רישום פלילי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הוחמר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18780-06-14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וויסאם עאזם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14.9.2014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ביחס לנאשם שהחזיק בביתו שני אקדחים טעונים במחסניות עם כדורים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ובנוסף בשתי מחסניות ריקות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נקבע מתחם החל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14044-03-20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קטאווי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שהחזיק בתת מקלע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עטוף ומוסלק במשאית שעמדה בסמוך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ובמחסנית תואמת ובה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הופעל 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תנאי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בחופף וחלקו במצטבר 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הוטלו על הנאשם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למגמת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להחמיר בענישה בעבירות נשק 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לנסיבות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נתפסו שני כלי נשק וכמות גדולה של תחמושת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לקבוע את מתחם העונש ההולם החל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בבחינת העונש המתאים לנאשם הבאתי ב</w:t>
      </w:r>
      <w:r>
        <w:rPr>
          <w:rFonts w:ascii="David" w:hAnsi="David"/>
          <w:rtl w:val="true"/>
        </w:rPr>
        <w:t>מסגרת שיקוליי את הנסיבות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ואב לתינוקת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נטל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בשרות המבחן נטילת האחריות לא הייתה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ביצע את העבירות מתוך רצון לסייע לחבר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שראה עצמו קורבן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בין יתר שיקולי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העובדה שהנאשם מנהל אורח חיים יציב וחיי משפחה תקינים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לימוד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 לימודים גבוהים והשתלב היטב בעבודה מסודרת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משולב בהליך טיפולי במסגרת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נוטל חלק בקבוצות חינוכיות וטיפוליות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המלצת שרות המבחן לשלבו במחלקה טיפולית על מנת להשלים את הליך השיקום בו החל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באיזון בין שיקולים </w:t>
      </w:r>
      <w:r>
        <w:rPr>
          <w:rFonts w:ascii="David" w:hAnsi="David"/>
          <w:rtl w:val="true"/>
        </w:rPr>
        <w:t xml:space="preserve">אלו </w:t>
      </w:r>
      <w:r>
        <w:rPr>
          <w:rFonts w:ascii="David" w:hAnsi="David"/>
          <w:rtl w:val="true"/>
        </w:rPr>
        <w:t>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לקבוע את עונשו של הנאשם ב</w:t>
      </w:r>
      <w:r>
        <w:rPr>
          <w:rFonts w:ascii="David" w:hAnsi="David"/>
          <w:rtl w:val="true"/>
        </w:rPr>
        <w:t>תחתית המ</w:t>
      </w:r>
      <w:r>
        <w:rPr>
          <w:rFonts w:ascii="David" w:hAnsi="David"/>
          <w:rtl w:val="true"/>
        </w:rPr>
        <w:t xml:space="preserve">תחם </w:t>
      </w:r>
      <w:r>
        <w:rPr>
          <w:rFonts w:ascii="David" w:hAnsi="David"/>
          <w:rtl w:val="true"/>
        </w:rPr>
        <w:t xml:space="preserve">כך שיוטלו עליו </w:t>
      </w:r>
      <w:r>
        <w:rPr>
          <w:rFonts w:ascii="David" w:hAnsi="David"/>
          <w:rtl w:val="true"/>
        </w:rPr>
        <w:t>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בניכוי ימי המעצר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וזאת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מיום שחרורו של הנאשם מהמאסר שלא יעבור כל עבירה בניגוד </w:t>
      </w:r>
      <w:hyperlink r:id="rId20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1.1.2025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David" w:ascii="David" w:hAnsi="David"/>
          <w:sz w:val="20"/>
          <w:szCs w:val="20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ניתן יהיה לשלם את הקנס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פיצוי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David" w:ascii="David" w:hAnsi="David"/>
          <w:sz w:val="20"/>
          <w:szCs w:val="20"/>
          <w:rtl w:val="true"/>
        </w:rPr>
        <w:t xml:space="preserve">/  </w:t>
      </w:r>
      <w:r>
        <w:rPr>
          <w:rFonts w:ascii="David" w:hAnsi="David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sz w:val="20"/>
          <w:szCs w:val="20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בכרטיס אשראי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hyperlink r:id="rId22">
        <w:r>
          <w:rPr>
            <w:rStyle w:val="Hyperlink"/>
            <w:rFonts w:cs="David" w:ascii="David" w:hAnsi="David"/>
            <w:sz w:val="20"/>
            <w:szCs w:val="20"/>
          </w:rPr>
          <w:t>www.eca.gov.il</w:t>
        </w:r>
      </w:hyperlink>
      <w:r>
        <w:rPr>
          <w:rFonts w:cs="David" w:ascii="David" w:hAnsi="David"/>
          <w:sz w:val="20"/>
          <w:szCs w:val="20"/>
          <w:rtl w:val="true"/>
        </w:rPr>
        <w:t xml:space="preserve"> </w:t>
      </w:r>
      <w:r>
        <w:rPr>
          <w:rFonts w:cs="David" w:ascii="David" w:hAnsi="David"/>
          <w:sz w:val="20"/>
          <w:szCs w:val="2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0"/>
          <w:szCs w:val="20"/>
          <w:rtl w:val="true"/>
        </w:rPr>
        <w:t>(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)  –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b/>
          <w:bCs/>
          <w:sz w:val="20"/>
          <w:szCs w:val="20"/>
        </w:rPr>
        <w:t>35592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*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0"/>
          <w:szCs w:val="20"/>
        </w:rPr>
        <w:t>073-2055000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במזומן בכל סניף של בנק הדואר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בהצגת תעודת זהות בלבד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sz w:val="20"/>
          <w:szCs w:val="20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להמלצה בתסקיר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יאפשר לנאשם לסיים את ההליך הטיפולי בו החל במסגרת המעצר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כך יועמד התסקיר לעיון גורמי הטיפול בשב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המוצגים יחולטו או יושמדו לפי החלטת רשם המוצגים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זכות ערעור לבית המשפט המחוזי בתוך </w:t>
      </w:r>
      <w:r>
        <w:rPr>
          <w:rFonts w:cs="David" w:ascii="David" w:hAnsi="David"/>
          <w:b/>
          <w:bCs/>
          <w:sz w:val="22"/>
          <w:szCs w:val="22"/>
        </w:rPr>
        <w:t>45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יום</w:t>
      </w:r>
      <w:r>
        <w:rPr>
          <w:rFonts w:cs="David" w:ascii="David" w:hAnsi="David"/>
          <w:b/>
          <w:bCs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bookmarkStart w:id="11" w:name="Nitan"/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ניתן היום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ז אייר תשפ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04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יוני </w:t>
      </w:r>
      <w:r>
        <w:rPr>
          <w:rFonts w:cs="Arial" w:ascii="Arial" w:hAnsi="Arial"/>
          <w:b/>
          <w:bCs/>
          <w:sz w:val="22"/>
          <w:szCs w:val="22"/>
        </w:rPr>
        <w:t>2024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במעמד הנוכחים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24614-07-23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ואסים עבדאל רחמן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0"/>
        </w:tabs>
        <w:ind w:start="1080" w:hanging="36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26913995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5063920" TargetMode="External"/><Relationship Id="rId14" Type="http://schemas.openxmlformats.org/officeDocument/2006/relationships/hyperlink" Target="http://www.nevo.co.il/case/5969313" TargetMode="External"/><Relationship Id="rId15" Type="http://schemas.openxmlformats.org/officeDocument/2006/relationships/hyperlink" Target="http://www.nevo.co.il/case/26383419" TargetMode="External"/><Relationship Id="rId16" Type="http://schemas.openxmlformats.org/officeDocument/2006/relationships/hyperlink" Target="http://www.nevo.co.il/case/26484690" TargetMode="External"/><Relationship Id="rId17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16992066" TargetMode="External"/><Relationship Id="rId19" Type="http://schemas.openxmlformats.org/officeDocument/2006/relationships/hyperlink" Target="http://www.nevo.co.il/case/26520337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eca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2024-06-09T12:04:00Z</dcterms:created>
  <dc:creator> </dc:creator>
  <dc:description/>
  <cp:keywords/>
  <dc:language>en-IL</dc:language>
  <cp:lastModifiedBy>h1</cp:lastModifiedBy>
  <dcterms:modified xsi:type="dcterms:W3CDTF">2024-06-09T12:04:00Z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ואסים עבדאל רחמן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26913995;25824863;25063920;5969313;26383419;26484690;5724364;16992066;26520337</vt:lpwstr>
  </property>
  <property fmtid="{D5CDD505-2E9C-101B-9397-08002B2CF9AE}" pid="10" name="CITY">
    <vt:lpwstr>י-ם</vt:lpwstr>
  </property>
  <property fmtid="{D5CDD505-2E9C-101B-9397-08002B2CF9AE}" pid="11" name="DATE">
    <vt:lpwstr>20240604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ארנון איתן</vt:lpwstr>
  </property>
  <property fmtid="{D5CDD505-2E9C-101B-9397-08002B2CF9AE}" pid="15" name="LAWLISTTMP1">
    <vt:lpwstr>70301/144.a:3;029;144</vt:lpwstr>
  </property>
  <property fmtid="{D5CDD505-2E9C-101B-9397-08002B2CF9AE}" pid="16" name="LAWYER">
    <vt:lpwstr>מאזן איוב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24614</vt:lpwstr>
  </property>
  <property fmtid="{D5CDD505-2E9C-101B-9397-08002B2CF9AE}" pid="23" name="NEWPARTB">
    <vt:lpwstr>07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380020240604</vt:lpwstr>
  </property>
  <property fmtid="{D5CDD505-2E9C-101B-9397-08002B2CF9AE}" pid="35" name="TYPE_N_DATE">
    <vt:lpwstr>38020240604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