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24617-02-11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טיב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מסעוד 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טיב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רז ולטר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הובא וע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י 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ביסאן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bookmarkStart w:id="6" w:name="ABSTRACT_START"/>
      <w:bookmarkEnd w:id="6"/>
      <w:r>
        <w:rPr>
          <w:rtl w:val="true"/>
        </w:rPr>
        <w:t xml:space="preserve">ביום </w:t>
      </w:r>
      <w:r>
        <w:rPr/>
        <w:t>02.05.11</w:t>
      </w:r>
      <w:r>
        <w:rPr>
          <w:rtl w:val="true"/>
        </w:rPr>
        <w:t xml:space="preserve"> </w:t>
      </w:r>
      <w:r>
        <w:rPr>
          <w:rtl w:val="true"/>
        </w:rPr>
        <w:t xml:space="preserve">הורשע הנאשם על פי הודאתו בעובדות כתב אישום מתוקן בעבירות של קשירת קשר לפשע </w:t>
      </w:r>
      <w:r>
        <w:rPr>
          <w:rtl w:val="true"/>
        </w:rPr>
        <w:t>(</w:t>
      </w:r>
      <w:r>
        <w:rPr>
          <w:rtl w:val="true"/>
        </w:rPr>
        <w:t>מספר פעמים</w:t>
      </w:r>
      <w:r>
        <w:rPr>
          <w:rtl w:val="true"/>
        </w:rPr>
        <w:t xml:space="preserve">) </w:t>
      </w:r>
      <w:r>
        <w:rPr>
          <w:rtl w:val="true"/>
        </w:rPr>
        <w:t xml:space="preserve">עבירה לפי סעיף </w:t>
      </w:r>
      <w:r>
        <w:rPr/>
        <w:t>499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 xml:space="preserve">עבירות בנשק </w:t>
      </w:r>
      <w:r>
        <w:rPr>
          <w:rtl w:val="true"/>
        </w:rPr>
        <w:t>(</w:t>
      </w:r>
      <w:r>
        <w:rPr>
          <w:rtl w:val="true"/>
        </w:rPr>
        <w:t>סחר</w:t>
      </w:r>
      <w:r>
        <w:rPr>
          <w:rtl w:val="true"/>
        </w:rPr>
        <w:t xml:space="preserve">, </w:t>
      </w:r>
      <w:r>
        <w:rPr>
          <w:rtl w:val="true"/>
        </w:rPr>
        <w:t>ועסקה אחרת</w:t>
      </w:r>
      <w:r>
        <w:rPr>
          <w:rtl w:val="true"/>
        </w:rPr>
        <w:t>) (</w:t>
      </w:r>
      <w:r>
        <w:rPr>
          <w:rtl w:val="true"/>
        </w:rPr>
        <w:t>מספר מקרים</w:t>
      </w:r>
      <w:r>
        <w:rPr>
          <w:rtl w:val="true"/>
        </w:rPr>
        <w:t xml:space="preserve">), </w:t>
      </w:r>
      <w:r>
        <w:rPr>
          <w:rtl w:val="true"/>
        </w:rPr>
        <w:t xml:space="preserve">עבירה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 xml:space="preserve">ועבירות בנשק </w:t>
      </w:r>
      <w:r>
        <w:rPr>
          <w:rtl w:val="true"/>
        </w:rPr>
        <w:t>(</w:t>
      </w:r>
      <w:r>
        <w:rPr>
          <w:rtl w:val="true"/>
        </w:rPr>
        <w:t>החזקה</w:t>
      </w:r>
      <w:bookmarkStart w:id="7" w:name="ABSTRACT_END"/>
      <w:bookmarkEnd w:id="7"/>
      <w:r>
        <w:rPr>
          <w:rtl w:val="true"/>
        </w:rPr>
        <w:t>) (</w:t>
      </w:r>
      <w:r>
        <w:rPr>
          <w:rtl w:val="true"/>
        </w:rPr>
        <w:t>מספר מקרים רב</w:t>
      </w:r>
      <w:r>
        <w:rPr>
          <w:rtl w:val="true"/>
        </w:rPr>
        <w:t xml:space="preserve">) </w:t>
      </w:r>
      <w:r>
        <w:rPr>
          <w:rtl w:val="true"/>
        </w:rPr>
        <w:t xml:space="preserve">עבירה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רישא </w:t>
      </w:r>
      <w:r>
        <w:rPr>
          <w:rtl w:val="true"/>
        </w:rPr>
        <w:t xml:space="preserve">+ </w:t>
      </w:r>
      <w:r>
        <w:rPr>
          <w:rtl w:val="true"/>
        </w:rPr>
        <w:t>סיפא לחוק 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ובטרם טיעונים לעונש</w:t>
      </w:r>
      <w:r>
        <w:rPr>
          <w:rtl w:val="true"/>
        </w:rPr>
        <w:t xml:space="preserve">, </w:t>
      </w:r>
      <w:r>
        <w:rPr>
          <w:rtl w:val="true"/>
        </w:rPr>
        <w:t xml:space="preserve">הופנה לשירות המבחן לשם קבלת תסקיר ולאחר הגשת התסקיר ובטרם טיעונים לעונש וביום </w:t>
      </w:r>
      <w:r>
        <w:rPr/>
        <w:t>10.10.11</w:t>
      </w:r>
      <w:r>
        <w:rPr>
          <w:rtl w:val="true"/>
        </w:rPr>
        <w:t xml:space="preserve"> </w:t>
      </w:r>
      <w:r>
        <w:rPr>
          <w:rtl w:val="true"/>
        </w:rPr>
        <w:t>הוגשה בקשה מטעמו של הנאשם אשר לפיה ביקש לחזור בו מהודאתו בכתב האישום המתוקן ולבטל את הכרעת הדין שניתנה על סמך הודאתו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המדינה התנגד לבקשה זו וביום </w:t>
      </w:r>
      <w:r>
        <w:rPr/>
        <w:t>15.11.11</w:t>
      </w:r>
      <w:r>
        <w:rPr>
          <w:rtl w:val="true"/>
        </w:rPr>
        <w:t xml:space="preserve"> </w:t>
      </w:r>
      <w:r>
        <w:rPr>
          <w:rtl w:val="true"/>
        </w:rPr>
        <w:t>ניתנה החלטה ע</w:t>
      </w:r>
      <w:r>
        <w:rPr>
          <w:rtl w:val="true"/>
        </w:rPr>
        <w:t>"</w:t>
      </w:r>
      <w:r>
        <w:rPr>
          <w:rtl w:val="true"/>
        </w:rPr>
        <w:t>י ביהמ</w:t>
      </w:r>
      <w:r>
        <w:rPr>
          <w:rtl w:val="true"/>
        </w:rPr>
        <w:t>"</w:t>
      </w:r>
      <w:r>
        <w:rPr>
          <w:rtl w:val="true"/>
        </w:rPr>
        <w:t>ש זה לפיה בקשתו של הנאשם נדחתה והכרעת הדין נותרה על כנה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היום הופיעו ב</w:t>
      </w:r>
      <w:r>
        <w:rPr>
          <w:rtl w:val="true"/>
        </w:rPr>
        <w:t>"</w:t>
      </w:r>
      <w:r>
        <w:rPr>
          <w:rtl w:val="true"/>
        </w:rPr>
        <w:t>כ הצדדים ובפיהם הסדר טיעון לעניין העונש</w:t>
      </w:r>
      <w:r>
        <w:rPr>
          <w:rtl w:val="true"/>
        </w:rPr>
        <w:t xml:space="preserve">, </w:t>
      </w:r>
      <w:r>
        <w:rPr>
          <w:rtl w:val="true"/>
        </w:rPr>
        <w:t>הכל כפי שפורט 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הורשע בעבירות אשר פורטו לעיל וזאת במסגרת פרשייה רחבת היקף אשר כללה מספר רב של נאשמים ושדין רובם כבר הוכרע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ששקלתי את ההסדר אשר הוצג היום ולאחר ששמעתי ושקלתי את טיעוני ב</w:t>
      </w:r>
      <w:r>
        <w:rPr>
          <w:rtl w:val="true"/>
        </w:rPr>
        <w:t>"</w:t>
      </w:r>
      <w:r>
        <w:rPr>
          <w:rtl w:val="true"/>
        </w:rPr>
        <w:t>כ שני הצדדים</w:t>
      </w:r>
      <w:r>
        <w:rPr>
          <w:rtl w:val="true"/>
        </w:rPr>
        <w:t xml:space="preserve">, </w:t>
      </w:r>
      <w:r>
        <w:rPr>
          <w:rtl w:val="true"/>
        </w:rPr>
        <w:t>נחה דעתי כי ההסדר אליו הגיעו ב</w:t>
      </w:r>
      <w:r>
        <w:rPr>
          <w:rtl w:val="true"/>
        </w:rPr>
        <w:t>"</w:t>
      </w:r>
      <w:r>
        <w:rPr>
          <w:rtl w:val="true"/>
        </w:rPr>
        <w:t>כ הצדדים הינו סביר בנסיבות העניין והתוצאה שאני מחליט לאמצו על כל חלקיו ומרכיביו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 לכך אני גוזר על הנאשם את העונשים 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אני דן את הנאשם לתשלום קנס בסך </w:t>
      </w:r>
      <w:r>
        <w:rPr/>
        <w:t>45,000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תמורתו וזאת במצטבר לכל מאסר אחר שיוטל 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אני דן את הנאשם 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מתוכם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לריצוי בפועל החל מיום מעצרו</w:t>
      </w:r>
      <w:r>
        <w:rPr>
          <w:rtl w:val="true"/>
        </w:rPr>
        <w:t xml:space="preserve">, </w:t>
      </w:r>
      <w:r>
        <w:rPr>
          <w:rtl w:val="true"/>
        </w:rPr>
        <w:t xml:space="preserve">קרי </w:t>
      </w:r>
      <w:r>
        <w:rPr/>
        <w:t>24.01.11</w:t>
      </w:r>
      <w:r>
        <w:rPr>
          <w:rtl w:val="true"/>
        </w:rPr>
        <w:t xml:space="preserve">, </w:t>
      </w:r>
      <w:r>
        <w:rPr>
          <w:rtl w:val="true"/>
        </w:rPr>
        <w:t xml:space="preserve">ואילו היתרה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והתנאי שהנאשם לא יעבור ויורשע בפרק זמן זה בכל אחת מהעבירות בהן הורשע בכתב אישום מתוקן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הקנס אשר הוטל על הנאשם ישולם ב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שיעורים חודשיים שווים ורצופים החל מהחודש הראשון לאחר שחרורו מהכלא וזאת בראש כל חודש</w:t>
      </w:r>
      <w:r>
        <w:rPr>
          <w:rtl w:val="true"/>
        </w:rPr>
        <w:t xml:space="preserve">. </w:t>
      </w:r>
      <w:r>
        <w:rPr>
          <w:rtl w:val="true"/>
        </w:rPr>
        <w:t>במידה והנאשם יפגר בתשלום כלשהו</w:t>
      </w:r>
      <w:r>
        <w:rPr>
          <w:rtl w:val="true"/>
        </w:rPr>
        <w:t xml:space="preserve">, </w:t>
      </w:r>
      <w:r>
        <w:rPr>
          <w:rtl w:val="true"/>
        </w:rPr>
        <w:t>תעמוד היתרה הבלתי מסולקת לפירעון 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#6#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10/01/2012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#9#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 לבקשת החזרת תפוס</w:t>
      </w:r>
      <w:r>
        <w:rPr>
          <w:rtl w:val="true"/>
        </w:rPr>
        <w:t xml:space="preserve">, </w:t>
      </w:r>
      <w:r>
        <w:rPr>
          <w:rtl w:val="true"/>
        </w:rPr>
        <w:t>אשר הועלתה במסגרת טיעוניו של הסנגור המלומד</w:t>
      </w:r>
      <w:r>
        <w:rPr>
          <w:rtl w:val="true"/>
        </w:rPr>
        <w:t xml:space="preserve">, </w:t>
      </w:r>
      <w:r>
        <w:rPr>
          <w:rtl w:val="true"/>
        </w:rPr>
        <w:t>בקשה זו תוגש בכתב בהמשך ותועבר לב</w:t>
      </w:r>
      <w:r>
        <w:rPr>
          <w:rtl w:val="true"/>
        </w:rPr>
        <w:t>"</w:t>
      </w:r>
      <w:r>
        <w:rPr>
          <w:rtl w:val="true"/>
        </w:rPr>
        <w:t>כ המאשימה לתגובה וביהמ</w:t>
      </w:r>
      <w:r>
        <w:rPr>
          <w:rtl w:val="true"/>
        </w:rPr>
        <w:t>"</w:t>
      </w:r>
      <w:r>
        <w:rPr>
          <w:rtl w:val="true"/>
        </w:rPr>
        <w:t>ש יתייחס אליה בבוא העת</w:t>
      </w:r>
      <w:r>
        <w:rPr>
          <w:rtl w:val="true"/>
        </w:rPr>
        <w:t xml:space="preserve">, </w:t>
      </w:r>
      <w:r>
        <w:rPr>
          <w:rtl w:val="true"/>
        </w:rPr>
        <w:t>אם וכאשר תוגש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color w:val="FFFFFF"/>
          <w:sz w:val="6"/>
          <w:szCs w:val="6"/>
        </w:rPr>
        <w:t>54678313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#10#</w:t>
      </w:r>
      <w:r>
        <w:rPr>
          <w:sz w:val="6"/>
          <w:szCs w:val="6"/>
          <w:rtl w:val="true"/>
        </w:rPr>
        <w:t>&gt;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ט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ו טבת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10/01/2012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24617-02-11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מסעוד ח</w:t>
    </w:r>
    <w:r>
      <w:rPr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טיב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2012-01-15T12:06:00Z</dcterms:created>
  <dc:creator> </dc:creator>
  <dc:description/>
  <cp:keywords/>
  <dc:language>en-IL</dc:language>
  <cp:lastModifiedBy>hofit</cp:lastModifiedBy>
  <dcterms:modified xsi:type="dcterms:W3CDTF">2012-01-15T12:06:00Z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מסעוד ח'טיב</vt:lpwstr>
  </property>
  <property fmtid="{D5CDD505-2E9C-101B-9397-08002B2CF9AE}" pid="4" name="CITY">
    <vt:lpwstr>נצ'</vt:lpwstr>
  </property>
  <property fmtid="{D5CDD505-2E9C-101B-9397-08002B2CF9AE}" pid="5" name="DATE">
    <vt:lpwstr>20120110</vt:lpwstr>
  </property>
  <property fmtid="{D5CDD505-2E9C-101B-9397-08002B2CF9AE}" pid="6" name="ISABSTRACT">
    <vt:lpwstr>Y</vt:lpwstr>
  </property>
  <property fmtid="{D5CDD505-2E9C-101B-9397-08002B2CF9AE}" pid="7" name="JUDGE">
    <vt:lpwstr>תאופיק כתילי</vt:lpwstr>
  </property>
  <property fmtid="{D5CDD505-2E9C-101B-9397-08002B2CF9AE}" pid="8" name="LAWYER">
    <vt:lpwstr>הובא ו;הובא ו ביסאן;רז ולטר</vt:lpwstr>
  </property>
  <property fmtid="{D5CDD505-2E9C-101B-9397-08002B2CF9AE}" pid="9" name="NEWPARTA">
    <vt:lpwstr>24617</vt:lpwstr>
  </property>
  <property fmtid="{D5CDD505-2E9C-101B-9397-08002B2CF9AE}" pid="10" name="NEWPARTB">
    <vt:lpwstr>02</vt:lpwstr>
  </property>
  <property fmtid="{D5CDD505-2E9C-101B-9397-08002B2CF9AE}" pid="11" name="NEWPARTC">
    <vt:lpwstr>11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TYPE_ABS_DATE">
    <vt:lpwstr>390020120110</vt:lpwstr>
  </property>
  <property fmtid="{D5CDD505-2E9C-101B-9397-08002B2CF9AE}" pid="16" name="TYPE_N_DATE">
    <vt:lpwstr>39020120110</vt:lpwstr>
  </property>
  <property fmtid="{D5CDD505-2E9C-101B-9397-08002B2CF9AE}" pid="17" name="WORDNUMPAGES">
    <vt:lpwstr>2</vt:lpwstr>
  </property>
</Properties>
</file>