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מרכז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2464-12-10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עבד אל הדי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 </w:t>
      </w:r>
    </w:p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733"/>
        <w:gridCol w:w="1071"/>
        <w:gridCol w:w="3676"/>
        <w:gridCol w:w="82"/>
      </w:tblGrid>
      <w:tr>
        <w:trPr>
          <w:trHeight w:val="337" w:hRule="atLeast"/>
        </w:trPr>
        <w:tc>
          <w:tcPr>
            <w:tcW w:w="3973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השופט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זכריה כספי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סגן נשיא</w:t>
            </w:r>
          </w:p>
        </w:tc>
        <w:tc>
          <w:tcPr>
            <w:tcW w:w="1071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6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/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gridSpan w:val="4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562" w:type="dxa"/>
            <w:gridSpan w:val="4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חאלד עבד אל הדי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/>
      </w:pPr>
      <w:r>
        <w:rPr>
          <w:rStyle w:val="LineNumber"/>
          <w:rFonts w:cs="Arial" w:ascii="Arial" w:hAnsi="Arial"/>
          <w:sz w:val="6"/>
          <w:szCs w:val="6"/>
          <w:rtl w:val="true"/>
        </w:rPr>
        <w:t>&lt;</w:t>
      </w:r>
      <w:r>
        <w:rPr>
          <w:rStyle w:val="LineNumber"/>
          <w:rFonts w:cs="Arial" w:ascii="Arial" w:hAnsi="Arial"/>
          <w:sz w:val="6"/>
          <w:szCs w:val="6"/>
        </w:rPr>
        <w:t>#2#</w:t>
      </w:r>
      <w:r>
        <w:rPr>
          <w:rStyle w:val="LineNumber"/>
          <w:rFonts w:cs="Arial" w:ascii="Arial" w:hAnsi="Arial"/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tl w:val="true"/>
        </w:rPr>
        <w:t xml:space="preserve"> המאשימה </w:t>
      </w:r>
      <w:r>
        <w:rPr>
          <w:rtl w:val="true"/>
        </w:rPr>
        <w:t xml:space="preserve">-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אביב שרון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הנאשם </w:t>
      </w:r>
      <w:r>
        <w:rPr>
          <w:rtl w:val="true"/>
        </w:rPr>
        <w:t xml:space="preserve">-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חאלד סואלחי</w:t>
      </w:r>
    </w:p>
    <w:p>
      <w:pPr>
        <w:pStyle w:val="Normal"/>
        <w:ind w:end="0"/>
        <w:jc w:val="start"/>
        <w:rPr/>
      </w:pPr>
      <w:r>
        <w:rPr>
          <w:rtl w:val="true"/>
        </w:rPr>
        <w:t>הנאשם הובא על ידי שב</w:t>
      </w:r>
      <w:r>
        <w:rPr>
          <w:rtl w:val="true"/>
        </w:rPr>
        <w:t>"</w:t>
      </w:r>
      <w:r>
        <w:rPr>
          <w:rtl w:val="true"/>
        </w:rPr>
        <w:t>ס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spacing w:lineRule="auto" w:line="360"/>
        <w:ind w:end="0"/>
        <w:jc w:val="both"/>
        <w:rPr/>
      </w:pPr>
      <w:bookmarkStart w:id="6" w:name="ABSTRACT_START"/>
      <w:bookmarkEnd w:id="6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 xml:space="preserve">יליד </w:t>
      </w:r>
      <w:r>
        <w:rPr/>
        <w:t>1970</w:t>
      </w:r>
      <w:r>
        <w:rPr>
          <w:rtl w:val="true"/>
        </w:rPr>
        <w:t xml:space="preserve">, </w:t>
      </w:r>
      <w:r>
        <w:rPr>
          <w:rtl w:val="true"/>
        </w:rPr>
        <w:t>שנישא בשנית לפני כשנה ויותר</w:t>
      </w:r>
      <w:r>
        <w:rPr>
          <w:rtl w:val="true"/>
        </w:rPr>
        <w:t xml:space="preserve">, </w:t>
      </w:r>
      <w:r>
        <w:rPr>
          <w:rtl w:val="true"/>
        </w:rPr>
        <w:t>המתגורר בלוד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 פי הודאתו בכתב האישום המתוקן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בהחזקת נשק</w:t>
      </w:r>
      <w:r>
        <w:rPr>
          <w:rtl w:val="true"/>
        </w:rPr>
        <w:t xml:space="preserve">, </w:t>
      </w:r>
      <w:r>
        <w:rPr>
          <w:rtl w:val="true"/>
        </w:rPr>
        <w:t xml:space="preserve">לפי סעיף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רישא 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מתברר כי קטין</w:t>
      </w:r>
      <w:r>
        <w:rPr>
          <w:rtl w:val="true"/>
        </w:rPr>
        <w:t xml:space="preserve">, </w:t>
      </w:r>
      <w:r>
        <w:rPr>
          <w:rtl w:val="true"/>
        </w:rPr>
        <w:t>קרוב משפחתו</w:t>
      </w:r>
      <w:r>
        <w:rPr>
          <w:rtl w:val="true"/>
        </w:rPr>
        <w:t xml:space="preserve">, </w:t>
      </w:r>
      <w:r>
        <w:rPr>
          <w:rtl w:val="true"/>
        </w:rPr>
        <w:t>שעמד בקשר עם מי שהוברר להיות סוכן משטרתי סמוי</w:t>
      </w:r>
      <w:r>
        <w:rPr>
          <w:rtl w:val="true"/>
        </w:rPr>
        <w:t xml:space="preserve">, </w:t>
      </w:r>
      <w:r>
        <w:rPr>
          <w:rtl w:val="true"/>
        </w:rPr>
        <w:t>על מנת שירכוש ממנו נשק וסמים</w:t>
      </w:r>
      <w:r>
        <w:rPr>
          <w:rtl w:val="true"/>
        </w:rPr>
        <w:t xml:space="preserve">, </w:t>
      </w:r>
      <w:r>
        <w:rPr>
          <w:rtl w:val="true"/>
        </w:rPr>
        <w:t xml:space="preserve">קיבל מידי הנאשם ביום </w:t>
      </w:r>
      <w:r>
        <w:rPr/>
        <w:t>29.7.2010</w:t>
      </w:r>
      <w:r>
        <w:rPr>
          <w:rtl w:val="true"/>
        </w:rPr>
        <w:t xml:space="preserve"> </w:t>
      </w:r>
      <w:r>
        <w:rPr>
          <w:rtl w:val="true"/>
        </w:rPr>
        <w:t>תמ</w:t>
      </w:r>
      <w:r>
        <w:rPr>
          <w:rtl w:val="true"/>
        </w:rPr>
        <w:t>"</w:t>
      </w:r>
      <w:r>
        <w:rPr>
          <w:rtl w:val="true"/>
        </w:rPr>
        <w:t xml:space="preserve">ק מסוג קרל גוסטב ותחמושת ומכרם לסוכן בסכום של </w:t>
      </w:r>
      <w:r>
        <w:rPr/>
        <w:t>9,000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הודה בכתב האישום המתוקן</w:t>
      </w:r>
      <w:r>
        <w:rPr>
          <w:rtl w:val="true"/>
        </w:rPr>
        <w:t xml:space="preserve">, </w:t>
      </w:r>
      <w:r>
        <w:rPr>
          <w:rtl w:val="true"/>
        </w:rPr>
        <w:t>למרות קיומם של קשיים בראיות כנגדו ולקח אחריות על 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לנאשם עבר פלילי מכביד</w:t>
      </w:r>
      <w:r>
        <w:rPr>
          <w:rtl w:val="true"/>
        </w:rPr>
        <w:t xml:space="preserve">, </w:t>
      </w:r>
      <w:r>
        <w:rPr>
          <w:rtl w:val="true"/>
        </w:rPr>
        <w:t xml:space="preserve">החל משנת </w:t>
      </w:r>
      <w:r>
        <w:rPr/>
        <w:t>1988</w:t>
      </w:r>
      <w:r>
        <w:rPr>
          <w:rtl w:val="true"/>
        </w:rPr>
        <w:t xml:space="preserve">, </w:t>
      </w:r>
      <w:r>
        <w:rPr>
          <w:rtl w:val="true"/>
        </w:rPr>
        <w:t>בעיקרו בעבירות סמים אך גם בעבירות רכוש ורכב</w:t>
      </w:r>
      <w:r>
        <w:rPr>
          <w:rtl w:val="true"/>
        </w:rPr>
        <w:t xml:space="preserve">. </w:t>
      </w:r>
      <w:r>
        <w:rPr>
          <w:rtl w:val="true"/>
        </w:rPr>
        <w:t xml:space="preserve">לחובתו הרשעה אחת משנת </w:t>
      </w:r>
      <w:r>
        <w:rPr/>
        <w:t>1998</w:t>
      </w:r>
      <w:r>
        <w:rPr>
          <w:rtl w:val="true"/>
        </w:rPr>
        <w:t xml:space="preserve"> </w:t>
      </w:r>
      <w:r>
        <w:rPr>
          <w:rtl w:val="true"/>
        </w:rPr>
        <w:t>בעבירת נשק</w:t>
      </w:r>
      <w:r>
        <w:rPr>
          <w:rtl w:val="true"/>
        </w:rPr>
        <w:t xml:space="preserve">. </w:t>
      </w:r>
      <w:r>
        <w:rPr>
          <w:rtl w:val="true"/>
        </w:rPr>
        <w:t>בגין עבירות אלה נשא גם בעונשי מאסר משמעותיים 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 הצדדים הגיעו להסדר שמכוחו עתרה התביעה לענוש את הנאשם</w:t>
      </w:r>
      <w:r>
        <w:rPr>
          <w:rtl w:val="true"/>
        </w:rPr>
        <w:t xml:space="preserve">, </w:t>
      </w:r>
      <w:r>
        <w:rPr>
          <w:rtl w:val="true"/>
        </w:rPr>
        <w:t>בגדר של רף עליון ועונש ראוי לטעמה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מאסר על תנאי וקנס בסכום של </w:t>
      </w:r>
      <w:r>
        <w:rPr/>
        <w:t>10,000</w:t>
      </w:r>
      <w:r>
        <w:rPr>
          <w:rtl w:val="true"/>
        </w:rPr>
        <w:t xml:space="preserve"> ₪.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רשאי היה לטעון</w:t>
      </w:r>
      <w:r>
        <w:rPr>
          <w:rtl w:val="true"/>
        </w:rPr>
        <w:t xml:space="preserve">, </w:t>
      </w:r>
      <w:r>
        <w:rPr>
          <w:rtl w:val="true"/>
        </w:rPr>
        <w:t>באשר לרכיבי המאסר</w:t>
      </w:r>
      <w:r>
        <w:rPr>
          <w:rtl w:val="true"/>
        </w:rPr>
        <w:t xml:space="preserve">, </w:t>
      </w:r>
      <w:r>
        <w:rPr>
          <w:rtl w:val="true"/>
        </w:rPr>
        <w:t>כראות עיניו</w:t>
      </w:r>
      <w:r>
        <w:rPr>
          <w:rtl w:val="true"/>
        </w:rPr>
        <w:t xml:space="preserve">. </w:t>
      </w:r>
      <w:r>
        <w:rPr>
          <w:rtl w:val="true"/>
        </w:rPr>
        <w:t>לרכיב הקנס שותפים שני הצדדים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הדגיש את החומרה שבעבירות הנשק מסוג זה</w:t>
      </w:r>
      <w:r>
        <w:rPr>
          <w:rtl w:val="true"/>
        </w:rPr>
        <w:t xml:space="preserve">, </w:t>
      </w:r>
      <w:r>
        <w:rPr>
          <w:rtl w:val="true"/>
        </w:rPr>
        <w:t>כולל החזקת נשק שלא כדין והפנה לפסיקה</w:t>
      </w:r>
      <w:r>
        <w:rPr>
          <w:rtl w:val="true"/>
        </w:rPr>
        <w:t xml:space="preserve">, </w:t>
      </w:r>
      <w:r>
        <w:rPr>
          <w:rtl w:val="true"/>
        </w:rPr>
        <w:t xml:space="preserve">שמכוחה נגזרו על הנאשמים עונשי מאסר בפועל של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משום נסיבות תיק זה והעבר המכביד של הנאשם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לעונש גבוה מזה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סיפר על הנאשם ופירט את קורות חייו</w:t>
      </w:r>
      <w:r>
        <w:rPr>
          <w:rtl w:val="true"/>
        </w:rPr>
        <w:t xml:space="preserve">. </w:t>
      </w:r>
      <w:r>
        <w:rPr>
          <w:rtl w:val="true"/>
        </w:rPr>
        <w:t>הוא סיפר כיצד הגיע הנאשם לעבריינות והצביע על עניינים רגישים שבמשפחה</w:t>
      </w:r>
      <w:r>
        <w:rPr>
          <w:rtl w:val="true"/>
        </w:rPr>
        <w:t xml:space="preserve">, </w:t>
      </w:r>
      <w:r>
        <w:rPr>
          <w:rtl w:val="true"/>
        </w:rPr>
        <w:t>כאשר אחותו נרצחה</w:t>
      </w:r>
      <w:r>
        <w:rPr>
          <w:rtl w:val="true"/>
        </w:rPr>
        <w:t xml:space="preserve">, </w:t>
      </w:r>
      <w:r>
        <w:rPr>
          <w:rtl w:val="true"/>
        </w:rPr>
        <w:t>על רקע זה</w:t>
      </w:r>
      <w:r>
        <w:rPr>
          <w:rtl w:val="true"/>
        </w:rPr>
        <w:t xml:space="preserve">. </w:t>
      </w:r>
      <w:r>
        <w:rPr>
          <w:rtl w:val="true"/>
        </w:rPr>
        <w:t>שני אחים שהידרדרו לסמים</w:t>
      </w:r>
      <w:r>
        <w:rPr>
          <w:rtl w:val="true"/>
        </w:rPr>
        <w:t xml:space="preserve">, </w:t>
      </w:r>
      <w:r>
        <w:rPr>
          <w:rtl w:val="true"/>
        </w:rPr>
        <w:t>נפטרו</w:t>
      </w:r>
      <w:r>
        <w:rPr>
          <w:rtl w:val="true"/>
        </w:rPr>
        <w:t xml:space="preserve">. </w:t>
      </w:r>
      <w:r>
        <w:rPr>
          <w:rtl w:val="true"/>
        </w:rPr>
        <w:t>הוא עצמו הידרדר בכיוון של שימוש בסמים ועל רקע זה ביצע את העבירות</w:t>
      </w:r>
      <w:r>
        <w:rPr>
          <w:rtl w:val="true"/>
        </w:rPr>
        <w:t xml:space="preserve">, </w:t>
      </w:r>
      <w:r>
        <w:rPr>
          <w:rtl w:val="true"/>
        </w:rPr>
        <w:t>כפי המפורט ברישום הפלילי שהוגש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 ציין את השינוי שעבר הנאשם לפני שנים אחדות</w:t>
      </w:r>
      <w:r>
        <w:rPr>
          <w:rtl w:val="true"/>
        </w:rPr>
        <w:t xml:space="preserve">, </w:t>
      </w:r>
      <w:r>
        <w:rPr>
          <w:rtl w:val="true"/>
        </w:rPr>
        <w:t>כאשר נגמל מן השימוש בסמים</w:t>
      </w:r>
      <w:r>
        <w:rPr>
          <w:rtl w:val="true"/>
        </w:rPr>
        <w:t xml:space="preserve">. </w:t>
      </w:r>
      <w:r>
        <w:rPr>
          <w:rtl w:val="true"/>
        </w:rPr>
        <w:t>במסגרת השינוי הזה</w:t>
      </w:r>
      <w:r>
        <w:rPr>
          <w:rtl w:val="true"/>
        </w:rPr>
        <w:t xml:space="preserve">,  </w:t>
      </w:r>
      <w:r>
        <w:rPr>
          <w:rtl w:val="true"/>
        </w:rPr>
        <w:t>התגרש מאשתו דאז ונישא לאישה</w:t>
      </w:r>
      <w:r>
        <w:rPr>
          <w:rtl w:val="true"/>
        </w:rPr>
        <w:t xml:space="preserve">, </w:t>
      </w:r>
      <w:r>
        <w:rPr>
          <w:rtl w:val="true"/>
        </w:rPr>
        <w:t>לפני למעלה משנה</w:t>
      </w:r>
      <w:r>
        <w:rPr>
          <w:rtl w:val="true"/>
        </w:rPr>
        <w:t xml:space="preserve">, </w:t>
      </w:r>
      <w:r>
        <w:rPr>
          <w:rtl w:val="true"/>
        </w:rPr>
        <w:t>כנזכר</w:t>
      </w:r>
      <w:r>
        <w:rPr>
          <w:rtl w:val="true"/>
        </w:rPr>
        <w:t xml:space="preserve">, </w:t>
      </w:r>
      <w:r>
        <w:rPr>
          <w:rtl w:val="true"/>
        </w:rPr>
        <w:t>שהיא ילדה לו בת לפני זמן לא רב</w:t>
      </w:r>
      <w:r>
        <w:rPr>
          <w:rtl w:val="true"/>
        </w:rPr>
        <w:t xml:space="preserve">. </w:t>
      </w:r>
      <w:r>
        <w:rPr>
          <w:rtl w:val="true"/>
        </w:rPr>
        <w:t>כפי שציין מתוך ממצאי שירות המבחן</w:t>
      </w:r>
      <w:r>
        <w:rPr>
          <w:rtl w:val="true"/>
        </w:rPr>
        <w:t xml:space="preserve">, </w:t>
      </w:r>
      <w:r>
        <w:rPr>
          <w:rtl w:val="true"/>
        </w:rPr>
        <w:t>אשתו תומכת בו</w:t>
      </w:r>
      <w:r>
        <w:rPr>
          <w:rtl w:val="true"/>
        </w:rPr>
        <w:t xml:space="preserve">, </w:t>
      </w:r>
      <w:r>
        <w:rPr>
          <w:rtl w:val="true"/>
        </w:rPr>
        <w:t>כפי שתמכה בו גם בתהליך הגמילה מן הסם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 בסיס כל אלה</w:t>
      </w:r>
      <w:r>
        <w:rPr>
          <w:rtl w:val="true"/>
        </w:rPr>
        <w:t xml:space="preserve">, </w:t>
      </w:r>
      <w:r>
        <w:rPr>
          <w:rtl w:val="true"/>
        </w:rPr>
        <w:t>ביקש הסנגור למעט בעונש המאסר בפועל ולהסתפק בתקופת מעצרו עד כה של הנאשם</w:t>
      </w:r>
      <w:r>
        <w:rPr>
          <w:rtl w:val="true"/>
        </w:rPr>
        <w:t xml:space="preserve">, </w:t>
      </w:r>
      <w:r>
        <w:rPr>
          <w:rtl w:val="true"/>
        </w:rPr>
        <w:t xml:space="preserve">החל מיום </w:t>
      </w:r>
      <w:r>
        <w:rPr/>
        <w:t>1.12.10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שקלתי את הצעות הצדדים ובדעתי להפחית</w:t>
      </w:r>
      <w:r>
        <w:rPr>
          <w:rtl w:val="true"/>
        </w:rPr>
        <w:t xml:space="preserve">, </w:t>
      </w:r>
      <w:r>
        <w:rPr>
          <w:rtl w:val="true"/>
        </w:rPr>
        <w:t>במידה מסויימת</w:t>
      </w:r>
      <w:r>
        <w:rPr>
          <w:rtl w:val="true"/>
        </w:rPr>
        <w:t xml:space="preserve">, </w:t>
      </w:r>
      <w:r>
        <w:rPr>
          <w:rtl w:val="true"/>
        </w:rPr>
        <w:t>מעתירת המאסר בפועל שהציעה התביעה</w:t>
      </w:r>
      <w:r>
        <w:rPr>
          <w:rtl w:val="true"/>
        </w:rPr>
        <w:t xml:space="preserve">. </w:t>
      </w:r>
      <w:r>
        <w:rPr>
          <w:rtl w:val="true"/>
        </w:rPr>
        <w:t>יחד עם זאת אינני סבור</w:t>
      </w:r>
      <w:r>
        <w:rPr>
          <w:rtl w:val="true"/>
        </w:rPr>
        <w:t xml:space="preserve">, </w:t>
      </w:r>
      <w:r>
        <w:rPr>
          <w:rtl w:val="true"/>
        </w:rPr>
        <w:t>כי בנסיבות הכוללות</w:t>
      </w:r>
      <w:r>
        <w:rPr>
          <w:rtl w:val="true"/>
        </w:rPr>
        <w:t xml:space="preserve">, </w:t>
      </w:r>
      <w:r>
        <w:rPr>
          <w:rtl w:val="true"/>
        </w:rPr>
        <w:t>ראוי לענוש את הנאשם בעונש מאסר כאורך תקופת מעצרו עד כה</w:t>
      </w:r>
      <w:r>
        <w:rPr>
          <w:rtl w:val="true"/>
        </w:rPr>
        <w:t xml:space="preserve">. </w:t>
      </w:r>
      <w:r>
        <w:rPr>
          <w:rtl w:val="true"/>
        </w:rPr>
        <w:t>עברו המכביד וחומרת העבירה כשלעצמה</w:t>
      </w:r>
      <w:r>
        <w:rPr>
          <w:rtl w:val="true"/>
        </w:rPr>
        <w:t xml:space="preserve">, </w:t>
      </w:r>
      <w:r>
        <w:rPr>
          <w:rtl w:val="true"/>
        </w:rPr>
        <w:t>שעליה מדובר בנשק התקפי מטיבו</w:t>
      </w:r>
      <w:r>
        <w:rPr>
          <w:rtl w:val="true"/>
        </w:rPr>
        <w:t xml:space="preserve">, </w:t>
      </w:r>
      <w:r>
        <w:rPr>
          <w:rtl w:val="true"/>
        </w:rPr>
        <w:t>מה שמוסיף לסיכונים הקיימים</w:t>
      </w:r>
      <w:r>
        <w:rPr>
          <w:rtl w:val="true"/>
        </w:rPr>
        <w:t xml:space="preserve">, </w:t>
      </w:r>
      <w:r>
        <w:rPr>
          <w:rtl w:val="true"/>
        </w:rPr>
        <w:t>בלאו הכי</w:t>
      </w:r>
      <w:r>
        <w:rPr>
          <w:rtl w:val="true"/>
        </w:rPr>
        <w:t xml:space="preserve">, </w:t>
      </w:r>
      <w:r>
        <w:rPr>
          <w:rtl w:val="true"/>
        </w:rPr>
        <w:t>מהחזקת נשק שלא כדין</w:t>
      </w:r>
      <w:r>
        <w:rPr>
          <w:rtl w:val="true"/>
        </w:rPr>
        <w:t xml:space="preserve">, </w:t>
      </w:r>
      <w:r>
        <w:rPr>
          <w:rtl w:val="true"/>
        </w:rPr>
        <w:t>מצדיקים ענישה מחמירה יותר מזו שהציע הסנגור</w:t>
      </w:r>
      <w:r>
        <w:rPr>
          <w:rtl w:val="true"/>
        </w:rPr>
        <w:t xml:space="preserve">, </w:t>
      </w:r>
      <w:r>
        <w:rPr>
          <w:rtl w:val="true"/>
        </w:rPr>
        <w:t>ולא במידה מועטה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 למיותר להוסיף גם דברים אודות הסיכונים שבעבירות הנשק למיניהם</w:t>
      </w:r>
      <w:r>
        <w:rPr>
          <w:rtl w:val="true"/>
        </w:rPr>
        <w:t xml:space="preserve">. </w:t>
      </w:r>
      <w:r>
        <w:rPr>
          <w:rtl w:val="true"/>
        </w:rPr>
        <w:t>רעה חולה זו של החזקת נשק שלא כדין</w:t>
      </w:r>
      <w:r>
        <w:rPr>
          <w:rtl w:val="true"/>
        </w:rPr>
        <w:t xml:space="preserve">, </w:t>
      </w:r>
      <w:r>
        <w:rPr>
          <w:rtl w:val="true"/>
        </w:rPr>
        <w:t>התפשטה בשנים האחרונות ובמיוחד במגזר הערבי</w:t>
      </w:r>
      <w:r>
        <w:rPr>
          <w:rtl w:val="true"/>
        </w:rPr>
        <w:t xml:space="preserve">. </w:t>
      </w:r>
      <w:r>
        <w:rPr>
          <w:rtl w:val="true"/>
        </w:rPr>
        <w:t>עבירות כאלה בנשק</w:t>
      </w:r>
      <w:r>
        <w:rPr>
          <w:rtl w:val="true"/>
        </w:rPr>
        <w:t xml:space="preserve">, </w:t>
      </w:r>
      <w:r>
        <w:rPr>
          <w:rtl w:val="true"/>
        </w:rPr>
        <w:t>החל מהחזקת נשק ושימוש בו לצורך ירי בחתונות וכלה בשימוש לצרכים עברייניים</w:t>
      </w:r>
      <w:r>
        <w:rPr>
          <w:rtl w:val="true"/>
        </w:rPr>
        <w:t xml:space="preserve">, </w:t>
      </w:r>
      <w:r>
        <w:rPr>
          <w:rtl w:val="true"/>
        </w:rPr>
        <w:t>נפוצות מאוד</w:t>
      </w:r>
      <w:r>
        <w:rPr>
          <w:rtl w:val="true"/>
        </w:rPr>
        <w:t xml:space="preserve">. </w:t>
      </w:r>
      <w:r>
        <w:rPr>
          <w:rtl w:val="true"/>
        </w:rPr>
        <w:t>רק לפני ימים אחדים נורה למוות בצפון אורח בחתונה</w:t>
      </w:r>
      <w:r>
        <w:rPr>
          <w:rtl w:val="true"/>
        </w:rPr>
        <w:t xml:space="preserve">, </w:t>
      </w:r>
      <w:r>
        <w:rPr>
          <w:rtl w:val="true"/>
        </w:rPr>
        <w:t>ששניים מקרואיה עשו שימוש בנשק בירי</w:t>
      </w:r>
      <w:r>
        <w:rPr>
          <w:rtl w:val="true"/>
        </w:rPr>
        <w:t xml:space="preserve">, </w:t>
      </w:r>
      <w:r>
        <w:rPr>
          <w:rtl w:val="true"/>
        </w:rPr>
        <w:t>כדי לשמח את הקהל</w:t>
      </w:r>
      <w:r>
        <w:rPr>
          <w:rtl w:val="true"/>
        </w:rPr>
        <w:t xml:space="preserve">. </w:t>
      </w:r>
      <w:r>
        <w:rPr>
          <w:rtl w:val="true"/>
        </w:rPr>
        <w:t>שלא לדבר על אירועים קטלניים</w:t>
      </w:r>
      <w:r>
        <w:rPr>
          <w:rtl w:val="true"/>
        </w:rPr>
        <w:t xml:space="preserve">, </w:t>
      </w:r>
      <w:r>
        <w:rPr>
          <w:rtl w:val="true"/>
        </w:rPr>
        <w:t>אגב ביצוע מעשי עבירה קשים</w:t>
      </w:r>
      <w:r>
        <w:rPr>
          <w:rtl w:val="true"/>
        </w:rPr>
        <w:t xml:space="preserve">, </w:t>
      </w:r>
      <w:r>
        <w:rPr>
          <w:rtl w:val="true"/>
        </w:rPr>
        <w:t>המתרחשים תדיר במרכז הארץ</w:t>
      </w:r>
      <w:r>
        <w:rPr>
          <w:rtl w:val="true"/>
        </w:rPr>
        <w:t xml:space="preserve">. </w:t>
      </w:r>
      <w:r>
        <w:rPr>
          <w:rtl w:val="true"/>
        </w:rPr>
        <w:t>כל אלה הזכרתי בשל הצורך והמגמה להחמרה בעבירות מסוג 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עם זאת לא אתעלם</w:t>
      </w:r>
      <w:r>
        <w:rPr>
          <w:rtl w:val="true"/>
        </w:rPr>
        <w:t xml:space="preserve">, </w:t>
      </w:r>
      <w:r>
        <w:rPr>
          <w:rtl w:val="true"/>
        </w:rPr>
        <w:t>בעיקרו של דבר</w:t>
      </w:r>
      <w:r>
        <w:rPr>
          <w:rtl w:val="true"/>
        </w:rPr>
        <w:t xml:space="preserve">, </w:t>
      </w:r>
      <w:r>
        <w:rPr>
          <w:rtl w:val="true"/>
        </w:rPr>
        <w:t>מהודייתו של הנאשם ונטילת האחריות על ידו גם מנסיבות של חסר ראייתי</w:t>
      </w:r>
      <w:r>
        <w:rPr>
          <w:rtl w:val="true"/>
        </w:rPr>
        <w:t xml:space="preserve">, </w:t>
      </w:r>
      <w:r>
        <w:rPr>
          <w:rtl w:val="true"/>
        </w:rPr>
        <w:t>כפי שהזכרתי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סיכומם של דברים הוא שאני גוזר על הנאשם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בניכוי תקופת מעצרו מיום </w:t>
      </w:r>
      <w:r>
        <w:rPr/>
        <w:t>1.12.10</w:t>
      </w:r>
      <w:r>
        <w:rPr>
          <w:rtl w:val="true"/>
        </w:rPr>
        <w:t xml:space="preserve"> </w:t>
      </w:r>
      <w:r>
        <w:rPr>
          <w:rtl w:val="true"/>
        </w:rPr>
        <w:t xml:space="preserve">וכן בניכוי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 מעצר קודמים בתיק 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על תנאי ל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שלא יעבור במהלך תקופה זו</w:t>
      </w:r>
      <w:r>
        <w:rPr>
          <w:rtl w:val="true"/>
        </w:rPr>
        <w:t xml:space="preserve">, </w:t>
      </w:r>
      <w:r>
        <w:rPr>
          <w:rtl w:val="true"/>
        </w:rPr>
        <w:t>עבירת נשק מסוג כלשהו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 xml:space="preserve">קנס בסכום של 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 מאסר תמורתו</w:t>
      </w:r>
      <w:r>
        <w:rPr>
          <w:rtl w:val="true"/>
        </w:rPr>
        <w:t xml:space="preserve">. </w:t>
      </w:r>
      <w:r>
        <w:rPr>
          <w:rtl w:val="true"/>
        </w:rPr>
        <w:t>הקנס ישולם 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 חודשיים שווים</w:t>
      </w:r>
      <w:r>
        <w:rPr>
          <w:rtl w:val="true"/>
        </w:rPr>
        <w:t xml:space="preserve">, </w:t>
      </w:r>
      <w:r>
        <w:rPr>
          <w:rtl w:val="true"/>
        </w:rPr>
        <w:t xml:space="preserve">החל מיום </w:t>
      </w:r>
      <w:r>
        <w:rPr/>
        <w:t>4.8.2011</w:t>
      </w:r>
      <w:r>
        <w:rPr>
          <w:rtl w:val="true"/>
        </w:rPr>
        <w:t xml:space="preserve">. </w:t>
      </w:r>
      <w:r>
        <w:br w:type="page"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 xml:space="preserve">זכות ערעור לבית המשפט העליון בתוך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 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ניתן והודע היום ט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תמוז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11/07/2011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הצדדים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זכריה כספי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זכריה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כספי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2464-12-10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חאלד עבד אל הדי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2011-07-12T11:23:00Z</dcterms:created>
  <dc:creator> </dc:creator>
  <dc:description/>
  <cp:keywords/>
  <dc:language>en-IL</dc:language>
  <cp:lastModifiedBy>hofit</cp:lastModifiedBy>
  <dcterms:modified xsi:type="dcterms:W3CDTF">2011-07-12T11:23:00Z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חאלד עבד אל הדי</vt:lpwstr>
  </property>
  <property fmtid="{D5CDD505-2E9C-101B-9397-08002B2CF9AE}" pid="4" name="CITY">
    <vt:lpwstr>מרכז</vt:lpwstr>
  </property>
  <property fmtid="{D5CDD505-2E9C-101B-9397-08002B2CF9AE}" pid="5" name="DATE">
    <vt:lpwstr>20110711</vt:lpwstr>
  </property>
  <property fmtid="{D5CDD505-2E9C-101B-9397-08002B2CF9AE}" pid="6" name="ISABSTRACT">
    <vt:lpwstr>Y</vt:lpwstr>
  </property>
  <property fmtid="{D5CDD505-2E9C-101B-9397-08002B2CF9AE}" pid="7" name="JUDGE">
    <vt:lpwstr>זכריה כספי</vt:lpwstr>
  </property>
  <property fmtid="{D5CDD505-2E9C-101B-9397-08002B2CF9AE}" pid="8" name="LAWYER">
    <vt:lpwstr>אביב שרון;חאלד סואלחי</vt:lpwstr>
  </property>
  <property fmtid="{D5CDD505-2E9C-101B-9397-08002B2CF9AE}" pid="9" name="NEWPARTA">
    <vt:lpwstr>2464</vt:lpwstr>
  </property>
  <property fmtid="{D5CDD505-2E9C-101B-9397-08002B2CF9AE}" pid="10" name="NEWPARTB">
    <vt:lpwstr>12</vt:lpwstr>
  </property>
  <property fmtid="{D5CDD505-2E9C-101B-9397-08002B2CF9AE}" pid="11" name="NEWPARTC">
    <vt:lpwstr>10</vt:lpwstr>
  </property>
  <property fmtid="{D5CDD505-2E9C-101B-9397-08002B2CF9AE}" pid="12" name="NEWPROC">
    <vt:lpwstr>תפ</vt:lpwstr>
  </property>
  <property fmtid="{D5CDD505-2E9C-101B-9397-08002B2CF9AE}" pid="13" name="PSAKDIN">
    <vt:lpwstr>גזר-דין</vt:lpwstr>
  </property>
  <property fmtid="{D5CDD505-2E9C-101B-9397-08002B2CF9AE}" pid="14" name="TYPE">
    <vt:lpwstr>2</vt:lpwstr>
  </property>
  <property fmtid="{D5CDD505-2E9C-101B-9397-08002B2CF9AE}" pid="15" name="TYPE_ABS_DATE">
    <vt:lpwstr>390020110711</vt:lpwstr>
  </property>
  <property fmtid="{D5CDD505-2E9C-101B-9397-08002B2CF9AE}" pid="16" name="TYPE_N_DATE">
    <vt:lpwstr>39020110711</vt:lpwstr>
  </property>
  <property fmtid="{D5CDD505-2E9C-101B-9397-08002B2CF9AE}" pid="17" name="WORDNUMPAGES">
    <vt:lpwstr>3</vt:lpwstr>
  </property>
</Properties>
</file>