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89"/>
        <w:gridCol w:w="3689"/>
        <w:gridCol w:w="41"/>
      </w:tblGrid>
      <w:tr>
        <w:trPr>
          <w:trHeight w:val="418" w:hRule="exact"/>
        </w:trPr>
        <w:tc>
          <w:tcPr>
            <w:tcW w:w="8861" w:type="dxa"/>
            <w:gridSpan w:val="5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131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24670-05-23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גזייל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גיל קרזבום</w:t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2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2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גזייל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' 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' 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כללי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bookmarkStart w:id="7" w:name="ABSTRACT_START"/>
      <w:bookmarkEnd w:id="7"/>
      <w:r>
        <w:rPr>
          <w:rFonts w:ascii="David" w:hAnsi="David" w:eastAsia="David"/>
          <w:rtl w:val="true"/>
        </w:rPr>
        <w:t>הנאשם הודה והורשע במסגרת הסדר טיעון בכתב אישום מתוקן בעבירה של נשיאה והובלה של נשק שלא כדין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עבירה לפי </w:t>
      </w:r>
      <w:hyperlink r:id="rId7">
        <w:r>
          <w:rPr>
            <w:rStyle w:val="Hyperlink"/>
            <w:rFonts w:ascii="David" w:hAnsi="David" w:eastAsia="David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</w:rPr>
          <w:t>144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ב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רישא </w:t>
      </w:r>
      <w:r>
        <w:rPr>
          <w:rFonts w:eastAsia="David" w:cs="David" w:ascii="David" w:hAnsi="David"/>
          <w:rtl w:val="true"/>
        </w:rPr>
        <w:t>+</w:t>
      </w:r>
      <w:r>
        <w:rPr>
          <w:rFonts w:ascii="David" w:hAnsi="David" w:eastAsia="David"/>
          <w:rtl w:val="true"/>
        </w:rPr>
        <w:t>סיפא ל</w:t>
      </w:r>
      <w:hyperlink r:id="rId8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הסדר הטעון מתייחס לתיקון כתב האישום ואינו כולל הסכמות לעניין העונש שיוטל על הנאשם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 xml:space="preserve">עובדות כתב האישום המתוקן 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keepNext w:val="true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outlineLvl w:val="3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17.4.23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שעה </w:t>
      </w:r>
      <w:r>
        <w:rPr>
          <w:rFonts w:cs="David" w:ascii="David" w:hAnsi="David"/>
        </w:rPr>
        <w:t>23:10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נסעו הנאשם ובן דודו מוראד ברכבה 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אמו של הנאשם ברחוב אלעירק בכפר קרע כאשר מוראד נוהג ברכב ואילו הנאשם שישב לצדו נשא והוביל במושב האחורי של הרכב אקדח חצי אוטומטי מסוג </w:t>
      </w:r>
      <w:r>
        <w:rPr>
          <w:rFonts w:cs="David" w:ascii="David" w:hAnsi="David"/>
        </w:rPr>
        <w:t>GLOCK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תוצרת אוסטריה מודל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טעון במחסנית תואמת וזאת בלא רשות על פי 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במעשיו המתוארים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נשא והוביל ברכב אקדח ומחסנית המהווים כלי נשק שסוגל לירות כדור ובכוחו להמית אדם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cs="David"/>
          <w:b/>
          <w:bCs/>
          <w:sz w:val="14"/>
          <w:szCs w:val="14"/>
          <w:u w:val="single"/>
        </w:rPr>
      </w:pPr>
      <w:r>
        <w:rPr>
          <w:rFonts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ראיות המאשימה לעונש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הוגש גיליון הרשעות פלילי של הנאשם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ת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עיקר טיעוני המאשימה לעונש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>המאשימה בטיעוניה הדגישה את חומרת העבירה בה הורשע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מתן דגש על תופעת האלימות באמצעות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והצורך להחמיר בעבירות נשק כאשר המטרה היא להגן על שלטון החוק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שלום הציבור וביטחונו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חיי 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על </w:t>
      </w:r>
      <w:r>
        <w:rPr>
          <w:rFonts w:ascii="David" w:hAnsi="David" w:eastAsia="Calibri"/>
          <w:rtl w:val="true"/>
        </w:rPr>
        <w:t>שלמות גופם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נפשם ורכושם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זמינות הנשק תורמת להגדלת מעגל האלימות ולתוצאות הקשות הנובעות מכך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המאשימה ציינה כי מדובר במכת מדינה שיש להוקיעה מהשורש ו</w:t>
      </w:r>
      <w:r>
        <w:rPr>
          <w:rFonts w:ascii="David" w:hAnsi="David"/>
          <w:rtl w:val="true"/>
        </w:rPr>
        <w:t xml:space="preserve">הפנתה לתיקון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עונש מינימום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המלמד על עמדתו של המחוקק ועל הצורך להחמיר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בכלל זה הפנתה להנחיית פרקליט המדינה בדבר מדיניות הענישה המחמירה בעבירות נשק והמאמץ התביעתי להביא לצמצום</w:t>
      </w:r>
      <w:r>
        <w:rPr>
          <w:rFonts w:ascii="David" w:hAnsi="David"/>
          <w:rtl w:val="true"/>
        </w:rPr>
        <w:t xml:space="preserve"> התופעה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הקשור לנסיבות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 כי מדובר בנאשם בגיר שבחר בחירה מודעת לבצע את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חלקו בביצועה מלא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הבין היטב את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חומרתם </w:t>
      </w:r>
      <w:r>
        <w:rPr>
          <w:rFonts w:ascii="David" w:hAnsi="David" w:eastAsia="Calibri"/>
          <w:rtl w:val="true"/>
        </w:rPr>
        <w:t>והשלכותיהם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ציינה כי אין מדובר באירוע מקרי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הנאשם נסע ברכב של אמו בעודו נושא ומוביל באמצעות הרכב אקדח ומחסנית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המאשימה </w:t>
      </w:r>
      <w:r>
        <w:rPr>
          <w:rFonts w:ascii="David" w:hAnsi="David"/>
          <w:rtl w:val="true"/>
        </w:rPr>
        <w:t>הדגישה את פוטנציאל הנזק הרב הצפוי להיגרם מביצוע העבירה שכן אילו המשטרה לא הייתה עוצרת את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אין לדעת לאן הנשק היה עלול להתגלגל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איזה שימוש היה נעשה בו לרבות</w:t>
      </w:r>
      <w:r>
        <w:rPr>
          <w:rFonts w:ascii="David" w:hAnsi="David"/>
          <w:rtl w:val="true"/>
        </w:rPr>
        <w:t xml:space="preserve"> פגיעה בחיי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הקשור לנסיבות שאינן קשורות בביצוע העבירה הפנתה להודאתו המידית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לחיסכון בזמן שיפוטי 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ולעברו הפלילי של הנאשם הכולל שתי הרשעות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 בתחום האלימות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הקשור למדיניות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הפנתה לפסיקה רלוונטית וטענה למתחם עונש הולם שנע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כל האמור לעיל ובשקלול עברו הפלילי של הנאשם והעובדה כי לא קיים לגביו אפיק שיקומי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ביקשה למקם את עונש המאסר בפועל ברף האמצעי של המתחם וכן להטיל מאסר על תנאי וקנס כספי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עיקר טיעוני הנאשם לעונש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להודאתו המידית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להבעת החרטה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לקבלת האחריות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ולחסכון בזמן שיפוטי יקר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הפנה לנסיבותיו האישיות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 לכך שהוא בן למשפחה נורמטיבית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נשוי ואב לילד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לנסיבות 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ציין כי מדובר בנשיאת והובלת אקדח עם מחסנית ריקה ללא כדורים לפרק זמן קצר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כך שהפוטנציאל לגרימת נזק היה נמוך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למדיניות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אבחן את פסיקת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חלק על מתחם העונש לו טענה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והפנה לפסיקה רלוונטית תוך פירוט מספר רב של גזרי דין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ולא נקב במתחם עונש הולם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לסיכום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שלא למצות את הדין עם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להקל בעונשו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להתחשב בתקופת המעצר בה הוא נתון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לחוות דעת שב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ס שהוגשה בעניינו של הנאשם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8"/>
          <w:szCs w:val="18"/>
        </w:rPr>
      </w:pPr>
      <w:r>
        <w:rPr>
          <w:rFonts w:eastAsia="Calibri" w:cs="David" w:ascii="David" w:hAnsi="David"/>
          <w:sz w:val="18"/>
          <w:szCs w:val="1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עצמו הצטער על מעשיו וטען כי העולם העברייני זר לו</w:t>
      </w:r>
      <w:r>
        <w:rPr>
          <w:rFonts w:eastAsia="Calibri" w:cs="David" w:ascii="David" w:hAnsi="David"/>
          <w:rtl w:val="true"/>
        </w:rPr>
        <w:t>.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ascii="David" w:hAnsi="David" w:eastAsia="Calibri"/>
          <w:rtl w:val="true"/>
        </w:rPr>
        <w:t>ביקש להתחשב 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ולחזור לחיק משפחתו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העיד על תפקודו התקין בכלא במהלך מעצרו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היותו אסיר תומך</w:t>
      </w:r>
      <w:r>
        <w:rPr>
          <w:rFonts w:ascii="David" w:hAnsi="David" w:eastAsia="Calibri"/>
          <w:rtl w:val="true"/>
        </w:rPr>
        <w:t xml:space="preserve"> ומועיל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160"/>
        <w:ind w:firstLine="360" w:end="0"/>
        <w:contextualSpacing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חוות דעת של שב</w:t>
      </w:r>
      <w:r>
        <w:rPr>
          <w:rFonts w:eastAsia="Calibri" w:cs="David" w:ascii="David" w:hAnsi="David"/>
          <w:b/>
          <w:bCs/>
          <w:u w:val="single"/>
          <w:rtl w:val="true"/>
        </w:rPr>
        <w:t>"</w:t>
      </w:r>
      <w:r>
        <w:rPr>
          <w:rFonts w:ascii="David" w:hAnsi="David" w:eastAsia="Calibri"/>
          <w:b/>
          <w:b/>
          <w:bCs/>
          <w:u w:val="single"/>
          <w:rtl w:val="true"/>
        </w:rPr>
        <w:t>ס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>מחוות דעת שב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ס  עולה כי הנאשם שולב במספר קבוצות טיפוליות לרבות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הכנה לטיפול באלימות כללית 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הכנה לכישורי חיים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והכנה לטיפולי באלימות במשפחה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צוין כי מדובר בקבוצות הכנה שנועדו לאפשר לנאשם התנסות ראשונית בטיפול על מנת לאפשר שילוב  ייעודי בעבירות אותן ביצע מיד לאחר מתן גזר הדין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מסיכום חוות הדעת עולה כי הנאשם משתף פעולה עם עו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ס האגף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קשוב לתכנים ומביע רצון ונכונות ללמוד על עצמו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ונרתם לעזור לעצורים אחרים הזקוקים לסיוע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b/>
          <w:bCs/>
          <w:sz w:val="16"/>
          <w:szCs w:val="16"/>
          <w:u w:val="single"/>
        </w:rPr>
      </w:pPr>
      <w:r>
        <w:rPr>
          <w:rFonts w:eastAsia="David"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ListParagraph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קביעת מתחם העונש ההולם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 w:eastAsia="David"/>
          <w:rtl w:val="true"/>
        </w:rPr>
        <w:t xml:space="preserve">פרק </w:t>
      </w:r>
      <w:hyperlink r:id="rId10">
        <w:r>
          <w:rPr>
            <w:rStyle w:val="Hyperlink"/>
            <w:rFonts w:ascii="David" w:hAnsi="David" w:eastAsia="David"/>
            <w:rtl w:val="true"/>
          </w:rPr>
          <w:t>ו</w:t>
        </w:r>
        <w:r>
          <w:rPr>
            <w:rStyle w:val="Hyperlink"/>
            <w:rFonts w:eastAsia="David" w:cs="David" w:ascii="David" w:hAnsi="David"/>
            <w:rtl w:val="true"/>
          </w:rPr>
          <w:t xml:space="preserve">' </w:t>
        </w:r>
        <w:r>
          <w:rPr>
            <w:rStyle w:val="Hyperlink"/>
            <w:rFonts w:ascii="David" w:hAnsi="David" w:eastAsia="David"/>
            <w:rtl w:val="true"/>
          </w:rPr>
          <w:t>סימן א</w:t>
        </w:r>
        <w:r>
          <w:rPr>
            <w:rStyle w:val="Hyperlink"/>
            <w:rFonts w:eastAsia="David" w:cs="David" w:ascii="David" w:hAnsi="David"/>
            <w:rtl w:val="true"/>
          </w:rPr>
          <w:t xml:space="preserve">' </w:t>
        </w:r>
        <w:r>
          <w:rPr>
            <w:rStyle w:val="Hyperlink"/>
            <w:rFonts w:eastAsia="David" w:cs="David" w:ascii="David" w:hAnsi="David"/>
          </w:rPr>
          <w:t>1</w:t>
        </w:r>
        <w:r>
          <w:rPr>
            <w:rStyle w:val="Hyperlink"/>
            <w:rFonts w:eastAsia="David" w:cs="David" w:ascii="David" w:hAnsi="David"/>
            <w:rtl w:val="true"/>
          </w:rPr>
          <w:t xml:space="preserve"> </w:t>
        </w:r>
      </w:hyperlink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 w:eastAsia="David"/>
          <w:rtl w:val="true"/>
        </w:rPr>
        <w:t>ל</w:t>
      </w:r>
      <w:hyperlink r:id="rId11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דן בהבניית שיפוט הדעת השיפוטי בענישה </w:t>
      </w:r>
      <w:r>
        <w:rPr>
          <w:rFonts w:eastAsia="David" w:cs="David" w:ascii="David" w:hAnsi="David"/>
          <w:rtl w:val="true"/>
        </w:rPr>
        <w:t>(</w:t>
      </w:r>
      <w:hyperlink r:id="rId12">
        <w:r>
          <w:rPr>
            <w:rStyle w:val="Hyperlink"/>
            <w:rFonts w:ascii="David" w:hAnsi="David" w:eastAsia="David"/>
            <w:rtl w:val="true"/>
          </w:rPr>
          <w:t xml:space="preserve">סעיפים </w:t>
        </w:r>
        <w:r>
          <w:rPr>
            <w:rStyle w:val="Hyperlink"/>
            <w:rFonts w:eastAsia="David" w:cs="David" w:ascii="David" w:hAnsi="David"/>
          </w:rPr>
          <w:t>40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-</w:t>
        </w:r>
        <w:r>
          <w:rPr>
            <w:rStyle w:val="Hyperlink"/>
            <w:rFonts w:ascii="David" w:hAnsi="David" w:eastAsia="David"/>
            <w:rtl w:val="true"/>
          </w:rPr>
          <w:t>טו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וקובע  בין היתר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העיקרון המנחה בגזירת הדין הינו עקרון ההלימה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קרי קיומו של יחס הולם בין חומרת מעשה העבירה בנסיבותיו ומידת האשמה של הנאשם ובין סוג ומידת העונש המוטלים עליו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ס</w:t>
      </w:r>
      <w:r>
        <w:rPr>
          <w:rFonts w:eastAsia="David" w:cs="David" w:ascii="David" w:hAnsi="David"/>
          <w:rtl w:val="true"/>
        </w:rPr>
        <w:t xml:space="preserve">' </w:t>
      </w:r>
      <w:hyperlink r:id="rId13">
        <w:r>
          <w:rPr>
            <w:rStyle w:val="Hyperlink"/>
            <w:rFonts w:eastAsia="David" w:cs="David" w:ascii="David" w:hAnsi="David"/>
          </w:rPr>
          <w:t>40</w:t>
        </w:r>
        <w:r>
          <w:rPr>
            <w:rStyle w:val="Hyperlink"/>
            <w:rFonts w:eastAsia="David"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 w:eastAsia="David"/>
            <w:rtl w:val="true"/>
          </w:rPr>
          <w:t>א</w:t>
        </w:r>
      </w:hyperlink>
      <w:r>
        <w:rPr>
          <w:rFonts w:eastAsia="David" w:cs="David" w:ascii="David" w:hAnsi="David"/>
          <w:rtl w:val="true"/>
        </w:rPr>
        <w:t xml:space="preserve">). </w:t>
      </w:r>
      <w:r>
        <w:rPr>
          <w:rFonts w:ascii="David" w:hAnsi="David" w:eastAsia="David"/>
          <w:rtl w:val="true"/>
        </w:rPr>
        <w:t>ראשון השיקולים הוא הלימה ואחריו שיקום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הגנה על שלום הציבור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הרתעה אישית והרתעת הרבים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בשלב ראשון יש לקבוע את מתחם העונש ההולם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אשר נגזר מחומרת העבירה ונסיבות ביצועהּ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הערך החברתי עליו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בערך זה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ומדיניות הענישה הנהוגה ביחס לאותה עבירה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b/>
          <w:bCs/>
          <w:sz w:val="16"/>
          <w:szCs w:val="16"/>
          <w:u w:val="single"/>
        </w:rPr>
      </w:pPr>
      <w:r>
        <w:rPr>
          <w:rFonts w:eastAsia="David"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391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הערכים החברתיים עליהם יש להגן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10"/>
          <w:szCs w:val="10"/>
        </w:rPr>
      </w:pPr>
      <w:r>
        <w:rPr>
          <w:rFonts w:eastAsia="Calibri" w:cs="David" w:ascii="David" w:hAnsi="David"/>
          <w:sz w:val="10"/>
          <w:szCs w:val="1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>הערכים המוגנים שנפגעו כתוצאה מביצוע העבירות נשוא כתב האישום המתוקן הינם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spacing w:val="10"/>
          <w:rtl w:val="true"/>
        </w:rPr>
        <w:t>הצורך בשמירה על חיי אדם ושלמות הגוף</w:t>
      </w:r>
      <w:r>
        <w:rPr>
          <w:rFonts w:eastAsia="David" w:cs="David" w:ascii="David" w:hAnsi="David"/>
          <w:rtl w:val="true"/>
          <w:lang w:eastAsia="he-IL"/>
        </w:rPr>
        <w:t xml:space="preserve">,  </w:t>
      </w:r>
      <w:r>
        <w:rPr>
          <w:rFonts w:ascii="David" w:hAnsi="David" w:eastAsia="David"/>
          <w:rtl w:val="true"/>
          <w:lang w:eastAsia="he-IL"/>
        </w:rPr>
        <w:t>שלום הציבור ותחושת בטחונו מפני פגיעות בגוף ובנפש והסדר הציבורי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על ערכים אלה ניתן להגן בעיקר באמצעות פיקוח הדוק של הרשות להנפקת רישיונות להחזקת נשק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נשיאת נשק שלא כדין מחבלת ביכולתהּ של הרשות לבצע פיקוח ואכיפה כנדרש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בנוסף מי שמחזיק נשק ללא רישיון מסכן את הציבור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מאחר שלא עבר הכשרה מתאימה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ויש להניח כי אינו יודע להשתמש בו בדרך נכונה ובטוחה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למותר לציין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כי לא כל אדם רשאי לשאת נשק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ושיקולי הרשות במתן היתר לנשיאת נשק נועדו להבטיח את שלום הציבור ו</w:t>
      </w:r>
      <w:r>
        <w:rPr>
          <w:rFonts w:ascii="David" w:hAnsi="David" w:eastAsia="David"/>
          <w:rtl w:val="true"/>
          <w:lang w:eastAsia="he-IL"/>
        </w:rPr>
        <w:t xml:space="preserve">אלו </w:t>
      </w:r>
      <w:r>
        <w:rPr>
          <w:rFonts w:ascii="David" w:hAnsi="David" w:eastAsia="David"/>
          <w:rtl w:val="true"/>
          <w:lang w:eastAsia="he-IL"/>
        </w:rPr>
        <w:t>ניתנים במשורה ביחס לאזרחים מן השורה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</w:rPr>
        <w:t>החוק והפסיקה ייחסו לעבירות בנשק חומרה מיוחדת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נוכח ההשלכות הרות האסון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ופוטנציאל הסיכון הרב הגלום בהן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נפסק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זמינותו של נשק חם בעל פוטנציאל להסלמה בעבירות אלימות מסוגים שונים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מחייבת ביטוי עונשי הולם והחמרה ברמת הענישה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rtl w:val="true"/>
        </w:rPr>
        <w:t>בית המשפט העליון התייחס רבות לחומרתן של עבירות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לכך שהפכו 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ולצורך להחמיר עד מאוד בענישה בעניינן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גם המחוקק התייחס לחומרת עבירות הנשק כשקבע לאחרונה בהוראת שעה עונשי מינימום לעבירות נשק</w:t>
      </w:r>
      <w:r>
        <w:rPr>
          <w:rFonts w:eastAsia="David" w:cs="David" w:ascii="David" w:hAnsi="David"/>
          <w:rtl w:val="true"/>
        </w:rPr>
        <w:t xml:space="preserve">,  </w:t>
      </w:r>
      <w:r>
        <w:rPr>
          <w:rFonts w:ascii="David" w:hAnsi="David" w:eastAsia="David"/>
          <w:rtl w:val="true"/>
        </w:rPr>
        <w:t xml:space="preserve">חוק העונשין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תיקון מס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140</w:t>
      </w:r>
      <w:r>
        <w:rPr>
          <w:rFonts w:eastAsia="David" w:cs="David" w:ascii="David" w:hAnsi="David"/>
          <w:rtl w:val="true"/>
        </w:rPr>
        <w:t xml:space="preserve"> – </w:t>
      </w:r>
      <w:r>
        <w:rPr>
          <w:rFonts w:ascii="David" w:hAnsi="David" w:eastAsia="David"/>
          <w:rtl w:val="true"/>
        </w:rPr>
        <w:t>הוראת שעה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התשפ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אשר נכנס לתוקף בדצמבר 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ר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  <w:rtl w:val="true"/>
        </w:rPr>
        <w:t xml:space="preserve"> </w:t>
      </w:r>
      <w:hyperlink r:id="rId14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5813/21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ג</w:t>
      </w:r>
      <w:r>
        <w:rPr>
          <w:rFonts w:eastAsia="David" w:cs="David" w:ascii="David" w:hAnsi="David"/>
          <w:b/>
          <w:bCs/>
          <w:u w:val="single"/>
          <w:rtl w:val="true"/>
        </w:rPr>
        <w:t>'</w:t>
      </w:r>
      <w:r>
        <w:rPr>
          <w:rFonts w:ascii="David" w:hAnsi="David" w:eastAsia="David"/>
          <w:b/>
          <w:b/>
          <w:bCs/>
          <w:u w:val="single"/>
          <w:rtl w:val="true"/>
        </w:rPr>
        <w:t>בארין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שם נאמר בין היתר</w:t>
      </w:r>
      <w:r>
        <w:rPr>
          <w:rFonts w:eastAsia="David" w:cs="David" w:ascii="David" w:hAnsi="David"/>
          <w:rtl w:val="true"/>
        </w:rPr>
        <w:t>: "</w:t>
      </w:r>
      <w:r>
        <w:rPr>
          <w:rFonts w:ascii="David" w:hAnsi="David" w:eastAsia="David"/>
          <w:b/>
          <w:b/>
          <w:bCs/>
          <w:rtl w:val="true"/>
        </w:rPr>
        <w:t>רבות נכתב על עבירות נשק והתערבות ערכאת הערעור בקביעת העונש ההולם בכלל ובעבירות נשק בפרט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אם קיימת התערבות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היא בדרך כלל נעשית על מנת להחמיר בעונשם של עברייני נשק ולא להקל עמם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לאחרונה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נאמרו על ידִי הדברים הבאים במסגרת </w:t>
      </w:r>
      <w:hyperlink r:id="rId15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8320/21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בסילה</w:t>
      </w:r>
      <w:r>
        <w:rPr>
          <w:rFonts w:eastAsia="David" w:cs="David" w:ascii="David" w:hAnsi="David"/>
          <w:b/>
          <w:bCs/>
          <w:rtl w:val="true"/>
        </w:rPr>
        <w:t>: '</w:t>
      </w:r>
      <w:r>
        <w:rPr>
          <w:rFonts w:ascii="David" w:hAnsi="David" w:eastAsia="David"/>
          <w:b/>
          <w:b/>
          <w:bCs/>
          <w:rtl w:val="true"/>
        </w:rPr>
        <w:t>אין צורך להכביר במילים על אודות החומרה הנלווית לעבירות נשק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אין היום חולקין כי עבירות מסוג זה הפכו ל</w:t>
      </w:r>
      <w:r>
        <w:rPr>
          <w:rFonts w:eastAsia="David" w:cs="David" w:ascii="David" w:hAnsi="David"/>
          <w:b/>
          <w:bCs/>
          <w:rtl w:val="true"/>
        </w:rPr>
        <w:t>'</w:t>
      </w:r>
      <w:r>
        <w:rPr>
          <w:rFonts w:ascii="David" w:hAnsi="David" w:eastAsia="David"/>
          <w:b/>
          <w:b/>
          <w:bCs/>
          <w:rtl w:val="true"/>
        </w:rPr>
        <w:t>מכת מדינה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של ממש</w:t>
      </w:r>
      <w:r>
        <w:rPr>
          <w:rFonts w:eastAsia="David" w:cs="David" w:ascii="David" w:hAnsi="David"/>
          <w:b/>
          <w:bCs/>
          <w:rtl w:val="true"/>
        </w:rPr>
        <w:t>...</w:t>
      </w:r>
      <w:r>
        <w:rPr>
          <w:rFonts w:ascii="David" w:hAnsi="David" w:eastAsia="David"/>
          <w:b/>
          <w:b/>
          <w:bCs/>
          <w:rtl w:val="true"/>
        </w:rPr>
        <w:t>מכה זו מצריכה מענה הולם בדמות ענישה מחמירה של הטלת עונשי מאסר משמעותיים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מצויים אנו לעת הזאת במצב חירום של ממש בעניין עבירות נשק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ולא בכדי נתקבל עתה תיקון ל</w:t>
      </w:r>
      <w:hyperlink r:id="rId16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 xml:space="preserve">חוק העונשין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תיקון מס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eastAsia="David" w:cs="David" w:ascii="David" w:hAnsi="David"/>
          <w:b/>
          <w:bCs/>
        </w:rPr>
        <w:t>140</w:t>
      </w:r>
      <w:r>
        <w:rPr>
          <w:rFonts w:eastAsia="David" w:cs="David" w:ascii="David" w:hAnsi="David"/>
          <w:b/>
          <w:bCs/>
          <w:rtl w:val="true"/>
        </w:rPr>
        <w:t xml:space="preserve"> – </w:t>
      </w:r>
      <w:r>
        <w:rPr>
          <w:rFonts w:ascii="David" w:hAnsi="David" w:eastAsia="David"/>
          <w:b/>
          <w:b/>
          <w:bCs/>
          <w:rtl w:val="true"/>
        </w:rPr>
        <w:t>הוראת שעה</w:t>
      </w:r>
      <w:r>
        <w:rPr>
          <w:rFonts w:eastAsia="David" w:cs="David" w:ascii="David" w:hAnsi="David"/>
          <w:b/>
          <w:bCs/>
          <w:rtl w:val="true"/>
        </w:rPr>
        <w:t xml:space="preserve">), </w:t>
      </w:r>
      <w:r>
        <w:rPr>
          <w:rFonts w:ascii="David" w:hAnsi="David" w:eastAsia="David"/>
          <w:b/>
          <w:b/>
          <w:bCs/>
          <w:rtl w:val="true"/>
        </w:rPr>
        <w:t>התשפ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ב</w:t>
      </w:r>
      <w:r>
        <w:rPr>
          <w:rFonts w:eastAsia="David" w:cs="David" w:ascii="David" w:hAnsi="David"/>
          <w:b/>
          <w:bCs/>
          <w:rtl w:val="true"/>
        </w:rPr>
        <w:t>-</w:t>
      </w:r>
      <w:r>
        <w:rPr>
          <w:rFonts w:eastAsia="David" w:cs="David" w:ascii="David" w:hAnsi="David"/>
          <w:b/>
          <w:bCs/>
        </w:rPr>
        <w:t>2021</w:t>
      </w:r>
      <w:r>
        <w:rPr>
          <w:rFonts w:eastAsia="David" w:cs="David" w:ascii="David" w:hAnsi="David"/>
          <w:b/>
          <w:bCs/>
          <w:rtl w:val="true"/>
        </w:rPr>
        <w:t>)...</w:t>
      </w:r>
      <w:r>
        <w:rPr>
          <w:rFonts w:ascii="David" w:hAnsi="David" w:eastAsia="David"/>
          <w:b/>
          <w:b/>
          <w:bCs/>
          <w:rtl w:val="true"/>
        </w:rPr>
        <w:t>הקובע עונשי מינימום לעבירות נשק</w:t>
      </w:r>
      <w:r>
        <w:rPr>
          <w:rFonts w:eastAsia="David" w:cs="David" w:ascii="David" w:hAnsi="David"/>
          <w:b/>
          <w:bCs/>
          <w:rtl w:val="true"/>
        </w:rPr>
        <w:t>' (</w:t>
      </w:r>
      <w:r>
        <w:rPr>
          <w:rFonts w:ascii="David" w:hAnsi="David" w:eastAsia="David"/>
          <w:b/>
          <w:b/>
          <w:bCs/>
          <w:rtl w:val="true"/>
        </w:rPr>
        <w:t>שם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פסקה </w:t>
      </w:r>
      <w:r>
        <w:rPr>
          <w:rFonts w:eastAsia="David" w:cs="David" w:ascii="David" w:hAnsi="David"/>
          <w:b/>
          <w:bCs/>
        </w:rPr>
        <w:t>25</w:t>
      </w:r>
      <w:r>
        <w:rPr>
          <w:rFonts w:eastAsia="David" w:cs="David" w:ascii="David" w:hAnsi="David"/>
          <w:b/>
          <w:bCs/>
          <w:rtl w:val="true"/>
        </w:rPr>
        <w:t>).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rtl w:val="true"/>
          <w:lang w:eastAsia="he-IL"/>
        </w:rPr>
        <w:t>ב</w:t>
      </w:r>
      <w:hyperlink r:id="rId17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lang w:eastAsia="he-IL"/>
          </w:rPr>
          <w:t>7502/12</w:t>
        </w:r>
      </w:hyperlink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כוויס נ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בין היתר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עבירות בנשק לסוגיהן מגלמות בתוכן סיכון ממשי לשלום הציבור ולביטחונו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שכן לא ניתן לדעת להיכן יתגלגלו כלי הנשק המוחזקים שלא דין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ואיזה שימוש יעשה בהם בעתיד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".  </w:t>
      </w:r>
      <w:r>
        <w:rPr>
          <w:rFonts w:ascii="David" w:hAnsi="David" w:eastAsia="David"/>
          <w:b/>
          <w:b/>
          <w:bCs/>
          <w:rtl w:val="true"/>
          <w:lang w:eastAsia="he-IL"/>
        </w:rPr>
        <w:t>ב</w:t>
      </w:r>
      <w:hyperlink r:id="rId18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lang w:eastAsia="he-IL"/>
          </w:rPr>
          <w:t>5833/07</w:t>
        </w:r>
      </w:hyperlink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ח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>'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ורי נ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הניסיון מלמד שנשק אשר מקורו מפוקפק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לאחר שהוא יוצא מידי המחזיק בו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מוצא את דרכו לידיים עברייניות או למפגעים למיניהם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והרי אלה גם אלה כבר הוכיחו כי אין הם מהססים להשתמש בו גם במקומות סואנים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וגם כאשר ברור להם כי עלולים להיפגע מהירי אנשים תמימים שנקלעו לזירה בדרך מקרה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...".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הפכו למרבה הצער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של ממש</w:t>
      </w:r>
      <w:r>
        <w:rPr>
          <w:rFonts w:eastAsia="David" w:cs="David" w:ascii="David" w:hAnsi="David"/>
          <w:rtl w:val="true"/>
        </w:rPr>
        <w:t xml:space="preserve">:  </w:t>
      </w:r>
      <w:r>
        <w:rPr>
          <w:rFonts w:ascii="David" w:hAnsi="David" w:eastAsia="David"/>
          <w:rtl w:val="true"/>
        </w:rPr>
        <w:t>ראו לעניין זה דבריו של כב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>הש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 xml:space="preserve">אלרון 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19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5613/20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אל</w:t>
      </w:r>
      <w:r>
        <w:rPr>
          <w:rFonts w:ascii="David" w:hAnsi="David" w:eastAsia="David"/>
          <w:b/>
          <w:b/>
          <w:bCs/>
          <w:u w:val="single"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הוזייל</w:t>
      </w:r>
      <w:r>
        <w:rPr>
          <w:rFonts w:ascii="David" w:hAnsi="David" w:eastAsia="David"/>
          <w:b/>
          <w:b/>
          <w:bCs/>
          <w:rtl w:val="true"/>
        </w:rPr>
        <w:t xml:space="preserve">  </w:t>
      </w:r>
      <w:r>
        <w:rPr>
          <w:rFonts w:ascii="David" w:hAnsi="David" w:eastAsia="David"/>
          <w:rtl w:val="true"/>
        </w:rPr>
        <w:t>כדלהלן</w:t>
      </w:r>
      <w:r>
        <w:rPr>
          <w:rFonts w:eastAsia="David" w:cs="David" w:ascii="David" w:hAnsi="David"/>
          <w:rtl w:val="true"/>
        </w:rPr>
        <w:t>:</w:t>
      </w:r>
      <w:r>
        <w:rPr>
          <w:rFonts w:eastAsia="David" w:cs="David" w:ascii="David" w:hAnsi="David"/>
          <w:b/>
          <w:bCs/>
          <w:rtl w:val="true"/>
        </w:rPr>
        <w:t xml:space="preserve"> "</w:t>
      </w:r>
      <w:r>
        <w:rPr>
          <w:rFonts w:ascii="David" w:hAnsi="David" w:eastAsia="David"/>
          <w:b/>
          <w:b/>
          <w:bCs/>
          <w:rtl w:val="true"/>
        </w:rPr>
        <w:t>לגופם של דברים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עבירות בנשק הפכו בשנים האחרונות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לתופעה נפוצה בקרב אוכלוסיות שונות בחברה הישראלית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המביאה לעתים מזומנות לפגיעה בחפים מפשע ולאובדן חיי אדם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כתוצאה מכך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בית משפט זה שב וקבע כי מתחייבת החמרה ממשית בענישה על עבירות אלו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על מנת לשדר מסר מרתיע מפני ביצוען</w:t>
      </w:r>
      <w:r>
        <w:rPr>
          <w:rFonts w:eastAsia="David" w:cs="David" w:ascii="David" w:hAnsi="David"/>
          <w:b/>
          <w:bCs/>
          <w:rtl w:val="true"/>
        </w:rPr>
        <w:t>..."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נסיבות ביצוע העבירות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נסיבות ביצוע העבירות פורטו במסגרת תיאור עובדות כתב האישום המתוקן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בקביעת חומרת עבירת הנשק יש להביא בחשבון מספר מרכיבים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ובכללם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סוג הנשק המוחזק שלא כדין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מספר הנשקים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כמות התחמושת ומטרת החזקתו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ראה </w:t>
      </w:r>
      <w:r>
        <w:rPr>
          <w:rFonts w:ascii="David" w:hAnsi="David" w:eastAsia="David"/>
          <w:b/>
          <w:b/>
          <w:bCs/>
          <w:rtl w:val="true"/>
        </w:rPr>
        <w:t>ע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 xml:space="preserve">פ </w:t>
      </w:r>
      <w:r>
        <w:rPr>
          <w:rFonts w:eastAsia="David" w:cs="David" w:ascii="David" w:hAnsi="David"/>
          <w:b/>
          <w:bCs/>
        </w:rPr>
        <w:t>1530/04</w:t>
      </w:r>
      <w:r>
        <w:rPr>
          <w:rFonts w:eastAsia="David" w:cs="David" w:ascii="David" w:hAnsi="David"/>
          <w:b/>
          <w:bCs/>
          <w:rtl w:val="true"/>
        </w:rPr>
        <w:t xml:space="preserve"> + </w:t>
      </w:r>
      <w:hyperlink r:id="rId20"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1332/04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יצחק רפאל פס ואח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נגד מדינת ישראל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בימ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ש העליון</w:t>
      </w:r>
      <w:r>
        <w:rPr>
          <w:rFonts w:eastAsia="David" w:cs="David" w:ascii="David" w:hAnsi="David"/>
          <w:b/>
          <w:bCs/>
          <w:rtl w:val="true"/>
        </w:rPr>
        <w:t>).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8"/>
          <w:szCs w:val="18"/>
        </w:rPr>
      </w:pPr>
      <w:r>
        <w:rPr>
          <w:rFonts w:eastAsia="Calibri"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0"/>
          <w:szCs w:val="10"/>
        </w:rPr>
      </w:pPr>
      <w:r>
        <w:rPr>
          <w:rFonts w:ascii="David" w:hAnsi="David" w:eastAsia="Calibri"/>
          <w:rtl w:val="true"/>
        </w:rPr>
        <w:t xml:space="preserve">חלקו של הנאשם התבטא בכך שהוא נשא והוביל  במושב האחורי של הרכב </w:t>
      </w:r>
      <w:r>
        <w:rPr>
          <w:rFonts w:ascii="David" w:hAnsi="David"/>
          <w:rtl w:val="true"/>
        </w:rPr>
        <w:t xml:space="preserve">אקדח חצי אוטומטי מסוג גלוק 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ובתוכו מחסנית </w:t>
      </w:r>
      <w:r>
        <w:rPr>
          <w:rFonts w:ascii="David" w:hAnsi="David"/>
          <w:rtl w:val="true"/>
        </w:rPr>
        <w:t xml:space="preserve">תואמת </w:t>
      </w:r>
      <w:r>
        <w:rPr>
          <w:rFonts w:ascii="David" w:hAnsi="David"/>
          <w:rtl w:val="true"/>
        </w:rPr>
        <w:t>ריקה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sz w:val="10"/>
          <w:szCs w:val="10"/>
        </w:rPr>
      </w:pPr>
      <w:r>
        <w:rPr>
          <w:rFonts w:eastAsia="Calibri"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Calibri"/>
          <w:rtl w:val="true"/>
        </w:rPr>
        <w:t>נסיבה מחמירה הינה העובדה שהנשק הובל ברחובות העיר כפר קרע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6"/>
          <w:szCs w:val="6"/>
        </w:rPr>
      </w:pPr>
      <w:r>
        <w:rPr>
          <w:rFonts w:eastAsia="Calibri"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6"/>
          <w:szCs w:val="6"/>
        </w:rPr>
      </w:pPr>
      <w:r>
        <w:rPr>
          <w:rFonts w:eastAsia="Calibri"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 w:eastAsia="Calibri"/>
          <w:rtl w:val="true"/>
        </w:rPr>
        <w:t>הנאשם אינו מורשה לנשיאת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 עבר כל הכשרה מותרת ויש בעצם נשיאתו של הנשק </w:t>
      </w:r>
      <w:r>
        <w:rPr>
          <w:rFonts w:ascii="David" w:hAnsi="David"/>
          <w:rtl w:val="true"/>
        </w:rPr>
        <w:t>כדי להוות סכנה לציבור ללא קשר למטרות נשיאתו</w:t>
      </w:r>
      <w:r>
        <w:rPr>
          <w:rFonts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חלקו של הנאשם בתכנון וביצוע העבירה הינו מרכזי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וקדם לה תכנון ולו בסיסי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 הנאשם היה יכול בנקל להימנע מביצוע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הוא לא עשה כן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6"/>
          <w:szCs w:val="16"/>
        </w:rPr>
      </w:pPr>
      <w:r>
        <w:rPr>
          <w:rFonts w:eastAsia="Calibri"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ascii="David" w:hAnsi="David" w:eastAsia="Calibri"/>
          <w:rtl w:val="true"/>
        </w:rPr>
        <w:t>נסיבות ביצוע העבירה לא הובררו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אין  מקום להניח לטובת הנאשם כי מדובר בנסיבות תמימות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גם אם מדובר באקדח עם מחסנית ריקה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כתב האישום </w:t>
      </w:r>
      <w:r>
        <w:rPr>
          <w:rFonts w:ascii="David" w:hAnsi="David" w:eastAsia="Calibri"/>
          <w:rtl w:val="true"/>
        </w:rPr>
        <w:t xml:space="preserve">אינו </w:t>
      </w:r>
      <w:r>
        <w:rPr>
          <w:rFonts w:ascii="David" w:hAnsi="David" w:eastAsia="Calibri"/>
          <w:rtl w:val="true"/>
        </w:rPr>
        <w:t xml:space="preserve"> מציין את פרק הזמן במהלכו הנאשם נשא והוביל את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בהתאם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להניח לטובתו כי הוא עשה כן לפרק זמן קצר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קרי מהלך הנסיעה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יצוין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שלא ניתן היה לבצע ירי מהנשק באופן מידי זאת בהיעדר תחמושת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במכלול הנסיבות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סבור כי במקרה זה מידת הפגיעה בערכים המוגנים ביחס  לעבירה של נשיאה והובלת נשק מצויה ברף הבינוני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tLeast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מדיניות הענישה והפסיקה הנהוגה</w:t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>בית המשפט העליון עמד לא אחת על חומרתן של 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המקימות סיכון ממשי וחמור לציבור ויוצרות פוטנציאל להסלמה עבריינית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תוך שהוא חוזר ומבהיר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חומרה זו מחייבת ליתן ביטוי עונשי הולם באמצעות הרחקת מבצעי העבירות לתקופת מאסר ממשית לריצוי בפועל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overflowPunct w:val="false"/>
        <w:autoSpaceDE w:val="false"/>
        <w:spacing w:lineRule="auto" w:line="360" w:before="0" w:after="160"/>
        <w:ind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hyperlink r:id="rId21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3156/11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זראיעה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– הנאשם בעל עבר פלילי שאינו מכביד הורשע על פי הודאתו בעבירות של נשיאת והובלת נשק והסתייעות ברכב לביצוע פשע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בכך שנשא 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מחסנית טעונה וקופסאות עם כדורי אקדח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הוטלו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ערעורו לבית המשפט העליון נדחה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ב</w:t>
      </w:r>
      <w:hyperlink r:id="rId22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5807/20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פלוני נגד מדינת ישראל</w:t>
      </w:r>
      <w:r>
        <w:rPr>
          <w:rFonts w:ascii="David" w:hAnsi="David" w:eastAsia="Calibri"/>
          <w:rtl w:val="true"/>
        </w:rPr>
        <w:t xml:space="preserve"> הנאשם הורשע בעבירות של נשיאת נשק והובלתו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בית המשפט קבע מתחם עונש הולם אשר נע בין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והוטלו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העליון הקל בעונשו והטיל עליו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בעבודות שירות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 נוכח תסקיר שירות המבחן שהוגש בעניינו אשר המליץ על ענישה טיפולית בצד מאסר בעבודות שירות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 בית המשפט הביא בחשבון את הנסיבות המיוחדות של ביצוע העבירה עת הנאשם מצא את הנשק ביער והחליט לקחת את כלי הנשק לאביו ולא דיווח על מציאתו למשטרה באופן מידי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ב</w:t>
      </w:r>
      <w:hyperlink r:id="rId23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5602/22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פלוני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14.09.22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נאשם שוהה בלתי חוקי נשא אקדח בשטחי ישראל ונמלט משוטר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צעיר ללא עבר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הורשע בעבירות של נשיאת נשק 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הפרעה לשוטר במילוי תפקידו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וכניסה ושהייה בישראל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עונשו של הנאשם הוחמר מ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תוך שנקבע כי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u w:val="single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eastAsia="Calibri" w:cs="David" w:ascii="David" w:hAnsi="David"/>
          <w:u w:val="single"/>
        </w:rPr>
        <w:t>30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>ל</w:t>
      </w:r>
      <w:r>
        <w:rPr>
          <w:rFonts w:eastAsia="Calibri" w:cs="David" w:ascii="David" w:hAnsi="David"/>
          <w:u w:val="single"/>
          <w:rtl w:val="true"/>
        </w:rPr>
        <w:t>-</w:t>
      </w:r>
      <w:r>
        <w:rPr>
          <w:rFonts w:eastAsia="Calibri" w:cs="David" w:ascii="David" w:hAnsi="David"/>
          <w:u w:val="single"/>
        </w:rPr>
        <w:t>42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>חודשי מאסר בין סורג ובריח</w:t>
      </w:r>
      <w:r>
        <w:rPr>
          <w:rFonts w:eastAsia="Calibri" w:cs="David" w:ascii="David" w:hAnsi="David"/>
          <w:u w:val="single"/>
          <w:rtl w:val="true"/>
        </w:rPr>
        <w:t>"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24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2482/22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קדורה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14.04.22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המשיב הורשע בעבירה של החזקת נשק – אקדח גלוק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מחסנית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כדורים לאקדח ורימון הלם – בצוותא עם אחר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המשיב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בן </w:t>
      </w: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בעת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ללא עבר פלילי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בית המשפט העליון קיבל את ערעור המדינה והחמיר את עונשו מ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25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2033/21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זועבי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30.8.2021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נאשם בן </w:t>
      </w:r>
      <w:r>
        <w:rPr>
          <w:rFonts w:eastAsia="Calibri" w:cs="David" w:ascii="David" w:hAnsi="David"/>
        </w:rPr>
        <w:t>51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ללא עבר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חולה טרשת נפוצה נדון בגין נשיאת שני אקדחים על רקע סכסוך פעיל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למאסר בן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ערעורו של הנאשם נדחה חרף מצבו הרפואי וסולחה שנערכה בין המשפחות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ב</w:t>
      </w:r>
      <w:hyperlink r:id="rId26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4303/22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אמיר אבו גאנם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 w:eastAsia="Calibri"/>
          <w:b/>
          <w:b/>
          <w:bCs/>
          <w:u w:val="single"/>
          <w:rtl w:val="true"/>
        </w:rPr>
        <w:t>ישראל</w:t>
      </w:r>
      <w:r>
        <w:rPr>
          <w:rFonts w:ascii="David" w:hAnsi="David" w:eastAsia="Calibri"/>
          <w:rtl w:val="true"/>
        </w:rPr>
        <w:t xml:space="preserve">  הנאשם בעל עבר פלילי הורשע בעבירה של נשיאת והובלת אקדח ומחסנית ריקה ברכבו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נגזרו </w:t>
      </w:r>
      <w:r>
        <w:rPr>
          <w:rFonts w:eastAsia="Calibri" w:cs="David" w:ascii="David" w:hAnsi="David"/>
        </w:rPr>
        <w:t>31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ומאסר מותנה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ערעורו נדחה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</w:t>
      </w:r>
      <w:hyperlink r:id="rId2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3877/16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פאדי ג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ascii="David" w:hAnsi="David"/>
          <w:b/>
          <w:b/>
          <w:bCs/>
          <w:u w:val="single"/>
          <w:rtl w:val="true"/>
        </w:rPr>
        <w:t>באלי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בעבירה של נשיאת אקדח טעון במחסנית וכדורים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מתחם עונש הולם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בעל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נגזרו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לבית המשפט העליון על חומרת העונש נדחה</w:t>
      </w:r>
      <w:r>
        <w:rPr>
          <w:rFonts w:cs="David" w:ascii="David" w:hAnsi="David"/>
          <w:rtl w:val="true"/>
        </w:rPr>
        <w:t>.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2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5856/22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טאיע סויטאת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בעבירות של נשיאה והובלת אקדח ומחסנית ריקה והפרעה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שנסע ברכב עם אדם אחר כשהוא נושא את האקדח והמחסנית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ובהגיעו למחסום משטרתי הנאשם יצא מהרכב והחל להימלט מהמקום ובחלוף מרדף קצר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שבמהלכו השליך את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נדחה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2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930/22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אוסמה חטיב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הנאשם הורשע בעבירה של נשיאה והובלת נשק והסתייעות ברכב לביצוע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שנשא והוביל ברכב בו נהג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אקדח חצי אוטומטי ומחסנית ריקה תואמת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57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 xml:space="preserve">המאשימה הפנתה למספר פסקי דין כאשר מתחמי העונש שנקבעו נעים בין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72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והעונשים נעים בין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72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חלק מפסקי הדין כללו עבירות נוספות של ייצור וסחר בנשק וחבלה חמורה בנסיבות מחמירות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הגיש פסיקה כאשר מתחמי הענישה שנקבעו נעים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ועד  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והעונשים שהוטלו נעים 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בעבודות שירות ועד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160"/>
        <w:ind w:start="391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לסיכום מתחם העונש ההולם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 xml:space="preserve">הנאשם הורשע בעבירה של נשיאת והובלת נשק שהעונש הקבוע בצידה הינו </w:t>
      </w:r>
      <w:r>
        <w:rPr>
          <w:rFonts w:eastAsia="David" w:cs="David" w:ascii="David" w:hAnsi="David"/>
        </w:rPr>
        <w:t>10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שנות מאסר ולא פחות מ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עונש המינימום הקבוע בחוק שאינו יכול להיות כולו על תנאי</w:t>
      </w:r>
      <w:r>
        <w:rPr>
          <w:rFonts w:eastAsia="David"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16"/>
          <w:szCs w:val="16"/>
        </w:rPr>
      </w:pPr>
      <w:r>
        <w:rPr>
          <w:rFonts w:eastAsia="Calibri" w:cs="David" w:ascii="David" w:hAnsi="David"/>
          <w:sz w:val="16"/>
          <w:szCs w:val="1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לאחר ששקלתי את חומרת העבירה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נסיבות ביצועהּ כמפורט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הערך החברתי עליו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בו והפסיקה הנהוגה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סבור כי מתחם העונש ההולם ביחס לעבירה אותה ביצע הנאשם צריך לכלול רכיב של מאסר בפועל שלא יפחת מ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24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חודשים ולא יעלה על </w:t>
      </w:r>
      <w:r>
        <w:rPr>
          <w:rFonts w:eastAsia="David" w:cs="David" w:ascii="David" w:hAnsi="David"/>
        </w:rPr>
        <w:t>42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 בצד עונשים נלווים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נסיבות שאינן קשורות בביצוע העביר</w:t>
      </w:r>
      <w:r>
        <w:rPr>
          <w:rFonts w:ascii="David" w:hAnsi="David" w:eastAsia="David"/>
          <w:b/>
          <w:b/>
          <w:bCs/>
          <w:u w:val="single"/>
          <w:rtl w:val="true"/>
        </w:rPr>
        <w:t>ה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>לקולה אני מביא בחשבון את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קבלת האחריות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הבעת החרטה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ההודאה בכתב האישום המתוקן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החיסכון בזמן שיפוטי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נסיבותיו האישיות של הנאשם כעולה מטיעוני ההגנה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תקופת המעצר המשמעותית בה הוא היה נתון עד היום 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כידוע תנאי מעצר קשים מתנאי מאסר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והשלכות המאסר על הנאשם ומשפחת</w:t>
      </w:r>
      <w:r>
        <w:rPr>
          <w:rFonts w:ascii="David" w:hAnsi="David" w:eastAsia="David"/>
          <w:rtl w:val="true"/>
        </w:rPr>
        <w:t>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האמור בחוות הדעת של שב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ס ובפרט נכונותו ורצונו של הנאשם להמשיך בהליכי השיקום בהם החל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rtl w:val="true"/>
        </w:rPr>
        <w:t xml:space="preserve">לחומרה יש להביא בחשבון את עברו הפלילי של הנאשם הכולל </w:t>
      </w:r>
      <w:r>
        <w:rPr>
          <w:rFonts w:ascii="David" w:hAnsi="David" w:eastAsia="David"/>
          <w:rtl w:val="true"/>
        </w:rPr>
        <w:t xml:space="preserve">שתי </w:t>
      </w:r>
      <w:r>
        <w:rPr>
          <w:rFonts w:ascii="David" w:hAnsi="David" w:eastAsia="David"/>
          <w:rtl w:val="true"/>
        </w:rPr>
        <w:t>הרשעות בעבירות של סיוע לאחר מעשה פשע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עבירת </w:t>
      </w:r>
      <w:r>
        <w:rPr>
          <w:rFonts w:ascii="David" w:hAnsi="David" w:eastAsia="David"/>
          <w:rtl w:val="true"/>
        </w:rPr>
        <w:t>סמים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איומים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החזקת אגרופן או סכין שלא כדין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כאשר בעברו ריצה </w:t>
      </w:r>
      <w:r>
        <w:rPr>
          <w:rFonts w:ascii="David" w:hAnsi="David" w:eastAsia="David"/>
          <w:rtl w:val="true"/>
        </w:rPr>
        <w:t xml:space="preserve">שני </w:t>
      </w:r>
      <w:r>
        <w:rPr>
          <w:rFonts w:ascii="David" w:hAnsi="David" w:eastAsia="David"/>
          <w:rtl w:val="true"/>
        </w:rPr>
        <w:t xml:space="preserve"> עונשי מאסר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אין בעברו של </w:t>
      </w:r>
      <w:r>
        <w:rPr>
          <w:rFonts w:ascii="David" w:hAnsi="David" w:eastAsia="David"/>
          <w:rtl w:val="true"/>
        </w:rPr>
        <w:t>הנאשם עבירות הקשורות בנשק חם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b/>
          <w:bCs/>
          <w:sz w:val="16"/>
          <w:szCs w:val="16"/>
        </w:rPr>
      </w:pPr>
      <w:r>
        <w:rPr>
          <w:rFonts w:eastAsia="David"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rtl w:val="true"/>
        </w:rPr>
        <w:t>במכלול הנסיבות כמפורט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אני סבור שנכון לגזור על הנאשם עונש מאסר בפועל  לתקופה שבין חלקו התחתון של המתחם למרכזו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קרוב יותר לרף התחתון</w:t>
      </w:r>
      <w:r>
        <w:rPr>
          <w:rFonts w:eastAsia="David" w:cs="David" w:ascii="David" w:hAnsi="David"/>
          <w:rtl w:val="true"/>
        </w:rPr>
        <w:t xml:space="preserve">). 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</w:rPr>
      </w:pPr>
      <w:r>
        <w:rPr>
          <w:rFonts w:eastAsia="David"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לאור כל האמור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גוזר על הנאשם  את העונשים הבאים</w:t>
      </w:r>
      <w:r>
        <w:rPr>
          <w:rFonts w:eastAsia="David" w:cs="David" w:ascii="David" w:hAnsi="David"/>
          <w:rtl w:val="true"/>
        </w:rPr>
        <w:t>:</w:t>
      </w:r>
    </w:p>
    <w:p>
      <w:pPr>
        <w:pStyle w:val="Normal"/>
        <w:spacing w:before="0" w:after="160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160"/>
        <w:ind w:firstLine="12" w:start="708" w:end="0"/>
        <w:jc w:val="start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rtl w:val="true"/>
        </w:rPr>
        <w:t xml:space="preserve">אני גוזר על הנאשם מאסר בפועל לתקופה של  </w:t>
      </w:r>
      <w:r>
        <w:rPr>
          <w:rFonts w:eastAsia="David" w:cs="David" w:ascii="David" w:hAnsi="David"/>
          <w:b/>
          <w:bCs/>
        </w:rPr>
        <w:t>27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חודשים בניכוי ימי מעצרו מתאריך </w:t>
      </w:r>
      <w:r>
        <w:rPr>
          <w:rFonts w:eastAsia="David" w:cs="David" w:ascii="David" w:hAnsi="David"/>
          <w:b/>
          <w:bCs/>
        </w:rPr>
        <w:t>17/4/23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ועד היום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  <w:sz w:val="2"/>
          <w:szCs w:val="2"/>
          <w:u w:val="single"/>
        </w:rPr>
      </w:pPr>
      <w:r>
        <w:rPr>
          <w:rFonts w:eastAsia="David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 w:eastAsia="David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eastAsia="David" w:cs="David" w:ascii="David" w:hAnsi="David"/>
          <w:b/>
          <w:bCs/>
        </w:rPr>
        <w:t>10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חודשים והתנאי הוא  שלא יעבור בתוך </w:t>
      </w:r>
      <w:r>
        <w:rPr>
          <w:rFonts w:eastAsia="David" w:cs="David" w:ascii="David" w:hAnsi="David"/>
          <w:b/>
          <w:bCs/>
        </w:rPr>
        <w:t>3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שנים מיום שחרורו ממאסרו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עבירת נשק מסוג פשע ויורשע בגינה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 w:eastAsia="David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eastAsia="David" w:cs="David" w:ascii="David" w:hAnsi="David"/>
          <w:b/>
          <w:bCs/>
        </w:rPr>
        <w:t>6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חודשים והתנאי הוא  שלא יעבור בתוך </w:t>
      </w:r>
      <w:r>
        <w:rPr>
          <w:rFonts w:eastAsia="David" w:cs="David" w:ascii="David" w:hAnsi="David"/>
          <w:b/>
          <w:bCs/>
        </w:rPr>
        <w:t>3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שנים מיום שחרורו ממאסרו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עבירת נשק מסוג עוון ויורשע בגינה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 w:eastAsia="David"/>
          <w:b/>
          <w:b/>
          <w:bCs/>
          <w:rtl w:val="true"/>
        </w:rPr>
        <w:t xml:space="preserve">אני גוזר על הנאשם קנס כספי בסך </w:t>
      </w:r>
      <w:r>
        <w:rPr>
          <w:rFonts w:eastAsia="David" w:cs="David" w:ascii="David" w:hAnsi="David"/>
          <w:b/>
          <w:bCs/>
        </w:rPr>
        <w:t>8,000</w:t>
      </w:r>
      <w:r>
        <w:rPr>
          <w:rFonts w:eastAsia="David" w:cs="David" w:ascii="David" w:hAnsi="David"/>
          <w:b/>
          <w:bCs/>
          <w:rtl w:val="true"/>
        </w:rPr>
        <w:t xml:space="preserve"> ₪  </w:t>
      </w:r>
      <w:r>
        <w:rPr>
          <w:rFonts w:ascii="David" w:hAnsi="David" w:eastAsia="David"/>
          <w:b/>
          <w:b/>
          <w:bCs/>
          <w:rtl w:val="true"/>
        </w:rPr>
        <w:t xml:space="preserve">או </w:t>
      </w:r>
      <w:r>
        <w:rPr>
          <w:rFonts w:eastAsia="David" w:cs="David" w:ascii="David" w:hAnsi="David"/>
          <w:b/>
          <w:bCs/>
        </w:rPr>
        <w:t>50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ימי מאסר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 w:eastAsia="David"/>
          <w:b/>
          <w:b/>
          <w:bCs/>
          <w:rtl w:val="true"/>
        </w:rPr>
        <w:t xml:space="preserve">הקנס שהוטל על הנאשם  ישולם עד ליום </w:t>
      </w:r>
      <w:r>
        <w:rPr>
          <w:rFonts w:eastAsia="David" w:cs="David" w:ascii="David" w:hAnsi="David"/>
          <w:b/>
          <w:bCs/>
        </w:rPr>
        <w:t>01.03.2024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start="707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תשומת לב הנאשם שיש לשלם את הקנס לחשבון המרכז לגביית קנסות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אגרות והוצאות ברשות האכיפה והגבייה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החל מחלוף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ימים מיום מתן גזר הדין וזאת באחת מהדרכים הבאות</w:t>
      </w:r>
      <w:r>
        <w:rPr>
          <w:rFonts w:eastAsia="David" w:cs="David" w:ascii="David" w:hAnsi="David"/>
          <w:rtl w:val="true"/>
        </w:rPr>
        <w:t>:</w:t>
      </w:r>
    </w:p>
    <w:p>
      <w:pPr>
        <w:pStyle w:val="Normal"/>
        <w:spacing w:lineRule="auto" w:line="360" w:before="0" w:after="160"/>
        <w:ind w:start="707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בכרטיס אשראי – באתר המקוון של רשות האכיפה והגבייה</w:t>
      </w:r>
      <w:r>
        <w:rPr>
          <w:rFonts w:eastAsia="David" w:cs="David" w:ascii="David" w:hAnsi="David"/>
          <w:rtl w:val="true"/>
        </w:rPr>
        <w:t xml:space="preserve">, </w:t>
      </w:r>
      <w:hyperlink r:id="rId30">
        <w:r>
          <w:rPr>
            <w:rStyle w:val="Hyperlink"/>
            <w:rFonts w:eastAsia="David" w:cs="David" w:ascii="David" w:hAnsi="David"/>
          </w:rPr>
          <w:t>www.eca.gov.il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או חפש בגוגל 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תשלום גביית קנסות</w:t>
      </w:r>
      <w:r>
        <w:rPr>
          <w:rFonts w:eastAsia="David" w:cs="David" w:ascii="David" w:hAnsi="David"/>
          <w:rtl w:val="true"/>
        </w:rPr>
        <w:t>".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 w:eastAsia="David"/>
          <w:rtl w:val="true"/>
        </w:rPr>
        <w:t xml:space="preserve">מוקד שירות טלפוני בשרות עצמי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מרכז גבייה</w:t>
      </w:r>
      <w:r>
        <w:rPr>
          <w:rFonts w:eastAsia="David" w:cs="David" w:ascii="David" w:hAnsi="David"/>
          <w:rtl w:val="true"/>
        </w:rPr>
        <w:t xml:space="preserve">)  – </w:t>
      </w:r>
      <w:r>
        <w:rPr>
          <w:rFonts w:ascii="David" w:hAnsi="David" w:eastAsia="David"/>
          <w:rtl w:val="true"/>
        </w:rPr>
        <w:t xml:space="preserve">בטלפון </w:t>
      </w:r>
      <w:r>
        <w:rPr>
          <w:rFonts w:eastAsia="David" w:cs="David" w:ascii="David" w:hAnsi="David"/>
        </w:rPr>
        <w:t>35592</w:t>
      </w:r>
      <w:r>
        <w:rPr>
          <w:rFonts w:eastAsia="David" w:cs="David" w:ascii="David" w:hAnsi="David"/>
          <w:rtl w:val="true"/>
        </w:rPr>
        <w:t xml:space="preserve">* </w:t>
      </w:r>
      <w:r>
        <w:rPr>
          <w:rFonts w:ascii="David" w:hAnsi="David" w:eastAsia="David"/>
          <w:rtl w:val="true"/>
        </w:rPr>
        <w:t xml:space="preserve">או בטלפון </w:t>
      </w:r>
      <w:r>
        <w:rPr>
          <w:rFonts w:eastAsia="David" w:cs="David" w:ascii="David" w:hAnsi="David"/>
        </w:rPr>
        <w:t>073-2055000</w:t>
      </w:r>
      <w:r>
        <w:rPr>
          <w:rFonts w:eastAsia="David" w:cs="David" w:ascii="David" w:hAnsi="David"/>
          <w:rtl w:val="true"/>
        </w:rPr>
        <w:t xml:space="preserve"> (</w:t>
      </w:r>
      <w:r>
        <w:rPr>
          <w:rFonts w:ascii="David" w:hAnsi="David" w:eastAsia="David"/>
          <w:rtl w:val="true"/>
        </w:rPr>
        <w:t>ניתן לפנות לנציגים לקבלת מידע במספרים הללו</w:t>
      </w:r>
      <w:r>
        <w:rPr>
          <w:rFonts w:eastAsia="David" w:cs="David" w:ascii="David" w:hAnsi="David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במזומן בכל סניף של בנק הדואר – בהצגת תעודת זהות בלבד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אין צורך בשוברי תשלום</w:t>
      </w:r>
      <w:r>
        <w:rPr>
          <w:rFonts w:eastAsia="David" w:cs="David" w:ascii="David" w:hAnsi="David"/>
          <w:rtl w:val="true"/>
        </w:rPr>
        <w:t>).</w:t>
      </w:r>
    </w:p>
    <w:p>
      <w:pPr>
        <w:pStyle w:val="Normal"/>
        <w:spacing w:before="0" w:after="160"/>
        <w:ind w:end="0"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b/>
          <w:b/>
          <w:bCs/>
          <w:rtl w:val="true"/>
        </w:rPr>
        <w:t xml:space="preserve">זכות ערעור לבית המשפט העליון בתוך </w:t>
      </w:r>
      <w:r>
        <w:rPr>
          <w:rFonts w:eastAsia="David" w:cs="David" w:ascii="David" w:hAnsi="David"/>
          <w:b/>
          <w:bCs/>
        </w:rPr>
        <w:t>45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יום מהיום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bookmarkStart w:id="10" w:name="Nitan"/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 חשוון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נובמבר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גיל קרזבום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24670-05-23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גזייל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.if" TargetMode="External"/><Relationship Id="rId4" Type="http://schemas.openxmlformats.org/officeDocument/2006/relationships/hyperlink" Target="http://www.nevo.co.il/law/70301/40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fCa(1)S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fCa(1)S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0a;40.if" TargetMode="External"/><Relationship Id="rId13" Type="http://schemas.openxmlformats.org/officeDocument/2006/relationships/hyperlink" Target="http://www.nevo.co.il/law/70301/40a" TargetMode="External"/><Relationship Id="rId14" Type="http://schemas.openxmlformats.org/officeDocument/2006/relationships/hyperlink" Target="http://www.nevo.co.il/case/27894608" TargetMode="External"/><Relationship Id="rId15" Type="http://schemas.openxmlformats.org/officeDocument/2006/relationships/hyperlink" Target="http://www.nevo.co.il/case/2815213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5601503" TargetMode="External"/><Relationship Id="rId18" Type="http://schemas.openxmlformats.org/officeDocument/2006/relationships/hyperlink" Target="http://www.nevo.co.il/case/6034921" TargetMode="External"/><Relationship Id="rId19" Type="http://schemas.openxmlformats.org/officeDocument/2006/relationships/hyperlink" Target="http://www.nevo.co.il/case/26913995" TargetMode="External"/><Relationship Id="rId20" Type="http://schemas.openxmlformats.org/officeDocument/2006/relationships/hyperlink" Target="http://www.nevo.co.il/case/5762686" TargetMode="External"/><Relationship Id="rId21" Type="http://schemas.openxmlformats.org/officeDocument/2006/relationships/hyperlink" Target="http://www.nevo.co.il/case/5878682" TargetMode="External"/><Relationship Id="rId22" Type="http://schemas.openxmlformats.org/officeDocument/2006/relationships/hyperlink" Target="http://www.nevo.co.il/case/26934681" TargetMode="External"/><Relationship Id="rId23" Type="http://schemas.openxmlformats.org/officeDocument/2006/relationships/hyperlink" Target="http://www.nevo.co.il/case/28883087" TargetMode="External"/><Relationship Id="rId24" Type="http://schemas.openxmlformats.org/officeDocument/2006/relationships/hyperlink" Target="http://www.nevo.co.il/case/28513828" TargetMode="External"/><Relationship Id="rId25" Type="http://schemas.openxmlformats.org/officeDocument/2006/relationships/hyperlink" Target="http://www.nevo.co.il/case/27494821" TargetMode="External"/><Relationship Id="rId26" Type="http://schemas.openxmlformats.org/officeDocument/2006/relationships/hyperlink" Target="http://www.nevo.co.il/case/28722692" TargetMode="External"/><Relationship Id="rId27" Type="http://schemas.openxmlformats.org/officeDocument/2006/relationships/hyperlink" Target="http://www.nevo.co.il/case/21474168" TargetMode="External"/><Relationship Id="rId28" Type="http://schemas.openxmlformats.org/officeDocument/2006/relationships/hyperlink" Target="http://www.nevo.co.il/case/28916087" TargetMode="External"/><Relationship Id="rId29" Type="http://schemas.openxmlformats.org/officeDocument/2006/relationships/hyperlink" Target="http://www.nevo.co.il/case/28300349" TargetMode="External"/><Relationship Id="rId30" Type="http://schemas.openxmlformats.org/officeDocument/2006/relationships/hyperlink" Target="http://www.eca.gov.il/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2024-08-26T14:39:00Z</dcterms:created>
  <dc:creator> </dc:creator>
  <dc:description/>
  <cp:keywords/>
  <dc:language>en-IL</dc:language>
  <cp:lastModifiedBy>h1</cp:lastModifiedBy>
  <dcterms:modified xsi:type="dcterms:W3CDTF">2024-08-26T14:39:00Z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גזייל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27894608;28152132;5601503;6034921;26913995;5762686;5878682;26934681;28883087;28513828;27494821;28722692;21474168;28916087;28300349</vt:lpwstr>
  </property>
  <property fmtid="{D5CDD505-2E9C-101B-9397-08002B2CF9AE}" pid="9" name="CITY">
    <vt:lpwstr>חי'</vt:lpwstr>
  </property>
  <property fmtid="{D5CDD505-2E9C-101B-9397-08002B2CF9AE}" pid="10" name="DATE">
    <vt:lpwstr>20231113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גיל קרזבום</vt:lpwstr>
  </property>
  <property fmtid="{D5CDD505-2E9C-101B-9397-08002B2CF9AE}" pid="14" name="LAWLISTTMP1">
    <vt:lpwstr>70301/144.b;fCa(1)S;040a:2;040.if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24670</vt:lpwstr>
  </property>
  <property fmtid="{D5CDD505-2E9C-101B-9397-08002B2CF9AE}" pid="22" name="NEWPARTB">
    <vt:lpwstr>05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390020231113</vt:lpwstr>
  </property>
  <property fmtid="{D5CDD505-2E9C-101B-9397-08002B2CF9AE}" pid="34" name="TYPE_N_DATE">
    <vt:lpwstr>39020231113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