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FirstLawyer"/>
      <w:bookmarkStart w:id="1" w:name="FirstLawyer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24677-02-11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LastJudge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אכרם עיד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 עיד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עידית רייכרט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מטעם הנאשם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מוחמד נעאמנה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:  </w:t>
      </w:r>
      <w:r>
        <w:rPr>
          <w:b w:val="false"/>
          <w:b w:val="false"/>
          <w:bCs w:val="false"/>
          <w:u w:val="none"/>
          <w:rtl w:val="true"/>
        </w:rPr>
        <w:t xml:space="preserve">הובאו </w:t>
      </w:r>
      <w:r>
        <w:rPr>
          <w:b w:val="false"/>
          <w:bCs w:val="false"/>
          <w:u w:val="none"/>
          <w:rtl w:val="true"/>
        </w:rPr>
        <w:t>[</w:t>
      </w:r>
      <w:r>
        <w:rPr>
          <w:b w:val="false"/>
          <w:b w:val="false"/>
          <w:bCs w:val="false"/>
          <w:u w:val="none"/>
          <w:rtl w:val="true"/>
        </w:rPr>
        <w:t>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י הליווי</w:t>
      </w:r>
      <w:r>
        <w:rPr>
          <w:b w:val="false"/>
          <w:bCs w:val="false"/>
          <w:u w:val="none"/>
          <w:rtl w:val="true"/>
        </w:rPr>
        <w:t>]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FirstLawyer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באשר לנאשם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>הנאשם הורשע על פי הודאתו בעבירות אשר יוחסו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קשירת קשר לביצוע פשע 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סעיף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עבירות בנשק </w:t>
      </w:r>
      <w:r>
        <w:rPr>
          <w:rtl w:val="true"/>
        </w:rPr>
        <w:t>(</w:t>
      </w:r>
      <w:r>
        <w:rPr>
          <w:rtl w:val="true"/>
        </w:rPr>
        <w:t>סחר בעסקה אחרת</w:t>
      </w:r>
      <w:r>
        <w:rPr>
          <w:rtl w:val="true"/>
        </w:rPr>
        <w:t>) (</w:t>
      </w:r>
      <w:r>
        <w:rPr>
          <w:rtl w:val="true"/>
        </w:rPr>
        <w:t>מספר רב של מקרים</w:t>
      </w:r>
      <w:r>
        <w:rPr>
          <w:rtl w:val="true"/>
        </w:rPr>
        <w:t xml:space="preserve">)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 xml:space="preserve">עבירות בנשק </w:t>
      </w:r>
      <w:r>
        <w:rPr>
          <w:rtl w:val="true"/>
        </w:rPr>
        <w:t>(</w:t>
      </w:r>
      <w:r>
        <w:rPr>
          <w:rtl w:val="true"/>
        </w:rPr>
        <w:t>החזקת נשק</w:t>
      </w:r>
      <w:r>
        <w:rPr>
          <w:rtl w:val="true"/>
        </w:rPr>
        <w:t>) (</w:t>
      </w:r>
      <w:r>
        <w:rPr>
          <w:rtl w:val="true"/>
        </w:rPr>
        <w:t>מספר רב של מקרים</w:t>
      </w:r>
      <w:r>
        <w:rPr>
          <w:rtl w:val="true"/>
        </w:rPr>
        <w:t xml:space="preserve">)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r>
        <w:rPr>
          <w:rtl w:val="true"/>
        </w:rPr>
        <w:t>סיפא לחוק העונשין</w:t>
      </w:r>
      <w:r>
        <w:rPr>
          <w:rtl w:val="true"/>
        </w:rPr>
        <w:t xml:space="preserve">, </w:t>
      </w:r>
      <w:r>
        <w:rPr>
          <w:rtl w:val="true"/>
        </w:rPr>
        <w:t xml:space="preserve">עבירות בנשק </w:t>
      </w:r>
      <w:r>
        <w:rPr>
          <w:rtl w:val="true"/>
        </w:rPr>
        <w:t>(</w:t>
      </w:r>
      <w:r>
        <w:rPr>
          <w:rtl w:val="true"/>
        </w:rPr>
        <w:t>נשיאת נשק</w:t>
      </w:r>
      <w:r>
        <w:rPr>
          <w:rtl w:val="true"/>
        </w:rPr>
        <w:t>) (</w:t>
      </w:r>
      <w:r>
        <w:rPr>
          <w:rtl w:val="true"/>
        </w:rPr>
        <w:t>מספר רב של מקרים</w:t>
      </w:r>
      <w:r>
        <w:rPr>
          <w:rtl w:val="true"/>
        </w:rPr>
        <w:t xml:space="preserve">)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r>
        <w:rPr>
          <w:rtl w:val="true"/>
        </w:rPr>
        <w:t>סיפא לחוק העונשין</w:t>
      </w:r>
      <w:r>
        <w:rPr>
          <w:rtl w:val="true"/>
        </w:rPr>
        <w:t xml:space="preserve">, </w:t>
      </w:r>
      <w:r>
        <w:rPr>
          <w:rtl w:val="true"/>
        </w:rPr>
        <w:t>החזקת נכס החשוד כגנוב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לחוק העונשין ושיבוש הליכי משפט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לחוק העונשין 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END"/>
      <w:bookmarkEnd w:id="8"/>
      <w:r>
        <w:rPr>
          <w:rtl w:val="true"/>
        </w:rPr>
        <w:t>הודאתו של הנאשם 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>והרשעתו בעבירות המפורטות לעיל באה במסגרת הסדר טיעון אליו הגיעו ב</w:t>
      </w:r>
      <w:r>
        <w:rPr>
          <w:rtl w:val="true"/>
        </w:rPr>
        <w:t>"</w:t>
      </w:r>
      <w:r>
        <w:rPr>
          <w:rtl w:val="true"/>
        </w:rPr>
        <w:t>כ הצדדים במהלך הליך של גישור</w:t>
      </w:r>
      <w:r>
        <w:rPr>
          <w:rtl w:val="true"/>
        </w:rPr>
        <w:t xml:space="preserve">, </w:t>
      </w:r>
      <w:r>
        <w:rPr>
          <w:rtl w:val="true"/>
        </w:rPr>
        <w:t>על פי אותו הסדר טיעון עתרו ב</w:t>
      </w:r>
      <w:r>
        <w:rPr>
          <w:rtl w:val="true"/>
        </w:rPr>
        <w:t>"</w:t>
      </w:r>
      <w:r>
        <w:rPr>
          <w:rtl w:val="true"/>
        </w:rPr>
        <w:t xml:space="preserve">כ הצדדים לבית המשפט להטלת עונש מאסר בפועל בן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חודשים בנוסף לעונשים נלווים שלגביהם הטיעון הינו טיעון פתוח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העבירות אשר בוצעו על ידי הנאשם הינן מהחמורות בתחום עבירות הנשק</w:t>
      </w:r>
      <w:r>
        <w:rPr>
          <w:rtl w:val="true"/>
        </w:rPr>
        <w:t xml:space="preserve">. </w:t>
      </w:r>
      <w:r>
        <w:rPr>
          <w:rtl w:val="true"/>
        </w:rPr>
        <w:t>מדובר במספר רב של מקרים</w:t>
      </w:r>
      <w:r>
        <w:rPr>
          <w:rtl w:val="true"/>
        </w:rPr>
        <w:t xml:space="preserve">. </w:t>
      </w:r>
      <w:r>
        <w:rPr>
          <w:rtl w:val="true"/>
        </w:rPr>
        <w:t>עבירות הנשק הפכו לאחרונה למכת מדינה</w:t>
      </w:r>
      <w:r>
        <w:rPr>
          <w:rtl w:val="true"/>
        </w:rPr>
        <w:t xml:space="preserve">, </w:t>
      </w:r>
      <w:r>
        <w:rPr>
          <w:rtl w:val="true"/>
        </w:rPr>
        <w:t>מדובר בעבירות נפוצות שהסכנה הנשקפת לציבור הינה רבה</w:t>
      </w:r>
      <w:r>
        <w:rPr>
          <w:rtl w:val="true"/>
        </w:rPr>
        <w:t xml:space="preserve">, </w:t>
      </w:r>
      <w:r>
        <w:rPr>
          <w:rtl w:val="true"/>
        </w:rPr>
        <w:t>במיוחד כשכלי נשק מוחזקים בידי אנשים שאינם מורשים לשאת בכלי נשק וכי חובה על בתי המשפט להלחם בתופעה זו מלחמת חורמה על מנת למדרה ולעקור אותה משורש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ששקלתי את טיעוני שני הצדדים</w:t>
      </w:r>
      <w:r>
        <w:rPr>
          <w:rtl w:val="true"/>
        </w:rPr>
        <w:t xml:space="preserve">, </w:t>
      </w:r>
      <w:r>
        <w:rPr>
          <w:rtl w:val="true"/>
        </w:rPr>
        <w:t>נחה דעתי כי בהתאם לנסיבות כפי שפורטו על ידי ב</w:t>
      </w:r>
      <w:r>
        <w:rPr>
          <w:rtl w:val="true"/>
        </w:rPr>
        <w:t>"</w:t>
      </w:r>
      <w:r>
        <w:rPr>
          <w:rtl w:val="true"/>
        </w:rPr>
        <w:t>כ הצדדים</w:t>
      </w:r>
      <w:r>
        <w:rPr>
          <w:rtl w:val="true"/>
        </w:rPr>
        <w:t xml:space="preserve">, </w:t>
      </w:r>
      <w:r>
        <w:rPr>
          <w:rtl w:val="true"/>
        </w:rPr>
        <w:t>יש לאמץ את הסדר הטיעון אליו הגיעו הצדדים</w:t>
      </w:r>
      <w:r>
        <w:rPr>
          <w:rtl w:val="true"/>
        </w:rPr>
        <w:t xml:space="preserve">. </w:t>
      </w:r>
      <w:r>
        <w:rPr>
          <w:rtl w:val="true"/>
        </w:rPr>
        <w:t>אציין שהעונש אשר יוטל על הנאשם במסגרת הסדר הטיעון הינו חריג והוא סוטה מרמת הענישה הנהוגה בגין עבירות כגון אלה בהן הורשע הנאשם</w:t>
      </w:r>
      <w:r>
        <w:rPr>
          <w:rtl w:val="true"/>
        </w:rPr>
        <w:t xml:space="preserve">, </w:t>
      </w:r>
      <w:r>
        <w:rPr>
          <w:rtl w:val="true"/>
        </w:rPr>
        <w:t>והטעמים לכך פורטו על ידי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אי 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ולאחר ששקלתי את טיעוני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ובהתאם להסדר הטיעון אני גוזר על הנאשם את העונשים הבאים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אני דן את הנאשם לתשלום קנס בסך של </w:t>
      </w:r>
      <w:r>
        <w:rPr>
          <w:b/>
          <w:bCs/>
        </w:rPr>
        <w:t>10,000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תמורתו וזאת במצטבר לכל עונש מאסר אחר שהנאשם נושא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הקנס ישולם 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שיעורים חודשיים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שווים ורצופים החל מיום </w:t>
      </w:r>
      <w:r>
        <w:rPr>
          <w:b/>
          <w:bCs/>
        </w:rPr>
        <w:t>1.1.2012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לתשלום המלא בפועל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אני דן את הנאשם למאסר לתקופה של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מתוכם </w:t>
      </w:r>
      <w:r>
        <w:rPr>
          <w:b/>
          <w:bCs/>
        </w:rPr>
        <w:t>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לריצוי בפועל וזאת החל מיום מעצרו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24.1.11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ואילו היתרה על תנאי למשך שלוש שנים והתנאי שהנאשם לא יעבור בפרק זמן זה על כל אחת מהעבירות בהן הורשע בכתב אישום מתוקן זה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#3#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 אדר 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קארן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מגידס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24677-02-11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אכרם עיד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2011-03-30T08:00:00Z</dcterms:created>
  <dc:creator> </dc:creator>
  <dc:description/>
  <cp:keywords/>
  <dc:language>en-IL</dc:language>
  <cp:lastModifiedBy>eli</cp:lastModifiedBy>
  <dcterms:modified xsi:type="dcterms:W3CDTF">2011-03-30T08:00:00Z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אכרם עיד;מוחמד עיד</vt:lpwstr>
  </property>
  <property fmtid="{D5CDD505-2E9C-101B-9397-08002B2CF9AE}" pid="4" name="CITY">
    <vt:lpwstr>נצ'</vt:lpwstr>
  </property>
  <property fmtid="{D5CDD505-2E9C-101B-9397-08002B2CF9AE}" pid="5" name="DATE">
    <vt:lpwstr>20110328</vt:lpwstr>
  </property>
  <property fmtid="{D5CDD505-2E9C-101B-9397-08002B2CF9AE}" pid="6" name="ISABSTRACT">
    <vt:lpwstr>Y</vt:lpwstr>
  </property>
  <property fmtid="{D5CDD505-2E9C-101B-9397-08002B2CF9AE}" pid="7" name="JUDGE">
    <vt:lpwstr>תאופיק כתילי</vt:lpwstr>
  </property>
  <property fmtid="{D5CDD505-2E9C-101B-9397-08002B2CF9AE}" pid="8" name="LAWYER">
    <vt:lpwstr>הובאו;הובאו [ הליווי];עידית רייכרט;מוחמד נעאמנה</vt:lpwstr>
  </property>
  <property fmtid="{D5CDD505-2E9C-101B-9397-08002B2CF9AE}" pid="9" name="NEWPARTA">
    <vt:lpwstr>24677</vt:lpwstr>
  </property>
  <property fmtid="{D5CDD505-2E9C-101B-9397-08002B2CF9AE}" pid="10" name="NEWPARTB">
    <vt:lpwstr>02</vt:lpwstr>
  </property>
  <property fmtid="{D5CDD505-2E9C-101B-9397-08002B2CF9AE}" pid="11" name="NEWPARTC">
    <vt:lpwstr>11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RemarkFileName">
    <vt:lpwstr>mechozi me 11 02 24677 943 htm</vt:lpwstr>
  </property>
  <property fmtid="{D5CDD505-2E9C-101B-9397-08002B2CF9AE}" pid="15" name="TYPE">
    <vt:lpwstr>2</vt:lpwstr>
  </property>
  <property fmtid="{D5CDD505-2E9C-101B-9397-08002B2CF9AE}" pid="16" name="TYPE_ABS_DATE">
    <vt:lpwstr>390020110328</vt:lpwstr>
  </property>
  <property fmtid="{D5CDD505-2E9C-101B-9397-08002B2CF9AE}" pid="17" name="TYPE_N_DATE">
    <vt:lpwstr>39020110328</vt:lpwstr>
  </property>
  <property fmtid="{D5CDD505-2E9C-101B-9397-08002B2CF9AE}" pid="18" name="WORDNUMPAGES">
    <vt:lpwstr>2</vt:lpwstr>
  </property>
</Properties>
</file>