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24733-11-10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סלמאן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74"/>
        <w:gridCol w:w="2512"/>
        <w:gridCol w:w="5534"/>
      </w:tblGrid>
      <w:tr>
        <w:trPr>
          <w:trHeight w:val="295" w:hRule="atLeast"/>
        </w:trPr>
        <w:tc>
          <w:tcPr>
            <w:tcW w:w="774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: </w:t>
            </w:r>
          </w:p>
        </w:tc>
        <w:tc>
          <w:tcPr>
            <w:tcW w:w="804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השופט זכריה כספי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סגן נשיא</w:t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bookmarkStart w:id="0" w:name="LastJudge"/>
            <w:bookmarkStart w:id="1" w:name="FirstLawyer"/>
            <w:bookmarkStart w:id="2" w:name="FirstAppellant"/>
            <w:bookmarkEnd w:id="0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המאשימה</w:t>
            </w:r>
          </w:p>
        </w:tc>
        <w:tc>
          <w:tcPr>
            <w:tcW w:w="5534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ע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י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רונית פוזננסקי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328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הנאשם</w:t>
            </w:r>
          </w:p>
        </w:tc>
        <w:tc>
          <w:tcPr>
            <w:tcW w:w="5534" w:type="dxa"/>
            <w:tcBorders/>
          </w:tcPr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sz w:val="28"/>
                <w:szCs w:val="28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IL" w:eastAsia="en-IL"/>
              </w:rPr>
              <w:t>יוסף סלמאן</w:t>
            </w:r>
          </w:p>
          <w:p>
            <w:pPr>
              <w:pStyle w:val="Normal"/>
              <w:bidi w:val="0"/>
              <w:spacing w:lineRule="auto" w:line="360"/>
              <w:ind w:start="-574" w:end="0"/>
              <w:jc w:val="end"/>
              <w:rPr>
                <w:rFonts w:ascii="Arial" w:hAnsi="Arial" w:cs="Arial"/>
                <w:b/>
                <w:bCs/>
                <w:lang w:val="en-IL" w:eastAsia="en-IL"/>
              </w:rPr>
            </w:pPr>
            <w:r>
              <w:rPr>
                <w:rFonts w:ascii="Arial" w:hAnsi="Arial" w:cs="Arial"/>
                <w:rtl w:val="true"/>
                <w:lang w:val="en-IL" w:eastAsia="en-IL"/>
              </w:rPr>
              <w:t>ע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י ב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כ עו</w:t>
            </w:r>
            <w:r>
              <w:rPr>
                <w:rFonts w:cs="Arial" w:ascii="Arial" w:hAnsi="Arial"/>
                <w:rtl w:val="true"/>
                <w:lang w:val="en-IL" w:eastAsia="en-IL"/>
              </w:rPr>
              <w:t>"</w:t>
            </w:r>
            <w:r>
              <w:rPr>
                <w:rFonts w:ascii="Arial" w:hAnsi="Arial" w:cs="Arial"/>
                <w:rtl w:val="true"/>
                <w:lang w:val="en-IL" w:eastAsia="en-IL"/>
              </w:rPr>
              <w:t>ד גיא עין צבי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14-11-2010</w:t>
      </w:r>
      <w:r>
        <w:rPr>
          <w:rFonts w:cs="FrankRuehl" w:ascii="FrankRuehl" w:hAnsi="FrankRuehl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יוסף סלמאן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לפני מיכל ברנט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מיטל אילן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שב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ס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06-01-2011</w:t>
      </w:r>
      <w:r>
        <w:rPr>
          <w:rFonts w:cs="FrankRuehl" w:ascii="FrankRuehl" w:hAnsi="FrankRuehl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אביב שרון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אסנת בן דוד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10-02-2011</w:t>
      </w:r>
      <w:r>
        <w:rPr>
          <w:rFonts w:cs="FrankRuehl" w:ascii="FrankRuehl" w:hAnsi="FrankRuehl"/>
          <w:rtl w:val="true"/>
        </w:rPr>
        <w:t xml:space="preserve">): </w:t>
      </w:r>
      <w:hyperlink r:id="rId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תרם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17-02-2011</w:t>
      </w:r>
      <w:r>
        <w:rPr>
          <w:rFonts w:cs="FrankRuehl" w:ascii="FrankRuehl" w:hAnsi="FrankRuehl"/>
          <w:rtl w:val="true"/>
        </w:rPr>
        <w:t xml:space="preserve">): </w:t>
      </w:r>
      <w:hyperlink r:id="rId5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סוזאן טוחי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09-06-2011</w:t>
      </w:r>
      <w:r>
        <w:rPr>
          <w:rFonts w:cs="FrankRuehl" w:ascii="FrankRuehl" w:hAnsi="FrankRuehl"/>
          <w:rtl w:val="true"/>
        </w:rPr>
        <w:t xml:space="preserve">): </w:t>
      </w:r>
      <w:hyperlink r:id="rId6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מירב עמר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26-06-2011</w:t>
      </w:r>
      <w:r>
        <w:rPr>
          <w:rFonts w:cs="FrankRuehl" w:ascii="FrankRuehl" w:hAnsi="FrankRuehl"/>
          <w:rtl w:val="true"/>
        </w:rPr>
        <w:t xml:space="preserve">): </w:t>
      </w:r>
      <w:hyperlink r:id="rId7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רונית פוזננסקי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07-08-2011</w:t>
      </w:r>
      <w:r>
        <w:rPr>
          <w:rFonts w:cs="FrankRuehl" w:ascii="FrankRuehl" w:hAnsi="FrankRuehl"/>
          <w:rtl w:val="true"/>
        </w:rPr>
        <w:t xml:space="preserve">): </w:t>
      </w: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5766/11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יוסף סלמאן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3" w:name="Links_Start"/>
      <w:bookmarkStart w:id="4" w:name="Links_Start"/>
      <w:bookmarkEnd w:id="4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14-11-2010</w:t>
      </w:r>
      <w:r>
        <w:rPr>
          <w:rFonts w:cs="FrankRuehl" w:ascii="FrankRuehl" w:hAnsi="FrankRuehl"/>
          <w:rtl w:val="true"/>
        </w:rPr>
        <w:t xml:space="preserve">): </w:t>
      </w:r>
      <w:hyperlink r:id="rId9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 xml:space="preserve">יוסף סלמאן 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ascii="FrankRuehl" w:hAnsi="FrankRuehl" w:cs="FrankRuehl"/>
          <w:color w:val="000000"/>
          <w:rtl w:val="true"/>
        </w:rPr>
        <w:t>עציר</w:t>
      </w:r>
      <w:r>
        <w:rPr>
          <w:rFonts w:cs="FrankRuehl" w:ascii="FrankRuehl" w:hAnsi="FrankRuehl"/>
          <w:color w:val="000000"/>
          <w:rtl w:val="true"/>
        </w:rPr>
        <w:t>)</w:t>
      </w:r>
      <w:r>
        <w:rPr>
          <w:rFonts w:cs="FrankRuehl" w:ascii="FrankRuehl" w:hAnsi="FrankRuehl"/>
          <w:rtl w:val="true"/>
        </w:rPr>
        <w:t xml:space="preserve"> </w:t>
      </w:r>
      <w:r>
        <w:rPr>
          <w:rFonts w:ascii="FrankRuehl" w:hAnsi="FrankRuehl" w:cs="FrankRuehl"/>
          <w:rtl w:val="true"/>
        </w:rPr>
        <w:t>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לפני מיכל ברנט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מיטל אילן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הובא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שב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 xml:space="preserve">ס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06-01-2011</w:t>
      </w:r>
      <w:r>
        <w:rPr>
          <w:rFonts w:cs="FrankRuehl" w:ascii="FrankRuehl" w:hAnsi="FrankRuehl"/>
          <w:rtl w:val="true"/>
        </w:rPr>
        <w:t xml:space="preserve">): </w:t>
      </w:r>
      <w:hyperlink r:id="rId10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אביב שרון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אסנת בן דוד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10-02-2011</w:t>
      </w:r>
      <w:r>
        <w:rPr>
          <w:rFonts w:cs="FrankRuehl" w:ascii="FrankRuehl" w:hAnsi="FrankRuehl"/>
          <w:rtl w:val="true"/>
        </w:rPr>
        <w:t xml:space="preserve">): </w:t>
      </w:r>
      <w:hyperlink r:id="rId11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יעל תרם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להכרעת</w:t>
      </w:r>
      <w:r>
        <w:rPr>
          <w:rFonts w:cs="FrankRuehl" w:ascii="FrankRuehl" w:hAnsi="FrankRuehl"/>
          <w:rtl w:val="true"/>
        </w:rPr>
        <w:t>-</w:t>
      </w:r>
      <w:r>
        <w:rPr>
          <w:rFonts w:ascii="FrankRuehl" w:hAnsi="FrankRuehl" w:cs="FrankRuehl"/>
          <w:rtl w:val="true"/>
        </w:rPr>
        <w:t xml:space="preserve">דין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17-02-2011</w:t>
      </w:r>
      <w:r>
        <w:rPr>
          <w:rFonts w:cs="FrankRuehl" w:ascii="FrankRuehl" w:hAnsi="FrankRuehl"/>
          <w:rtl w:val="true"/>
        </w:rPr>
        <w:t xml:space="preserve">): </w:t>
      </w:r>
      <w:hyperlink r:id="rId12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סוזאן טוחי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09-06-2011</w:t>
      </w:r>
      <w:r>
        <w:rPr>
          <w:rFonts w:cs="FrankRuehl" w:ascii="FrankRuehl" w:hAnsi="FrankRuehl"/>
          <w:rtl w:val="true"/>
        </w:rPr>
        <w:t xml:space="preserve">): </w:t>
      </w:r>
      <w:hyperlink r:id="rId13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מירב עמר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במחוזי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26-06-2011</w:t>
      </w:r>
      <w:r>
        <w:rPr>
          <w:rFonts w:cs="FrankRuehl" w:ascii="FrankRuehl" w:hAnsi="FrankRuehl"/>
          <w:rtl w:val="true"/>
        </w:rPr>
        <w:t xml:space="preserve">): </w:t>
      </w:r>
      <w:hyperlink r:id="rId14">
        <w:r>
          <w:rPr>
            <w:rStyle w:val="Hyperlink"/>
            <w:rFonts w:ascii="FrankRuehl" w:hAnsi="FrankRuehl" w:cs="FrankRuehl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</w:rPr>
          <w:t>24733-11-10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מדינת ישראל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יוסף סלמאן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זכריה כספי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רונית פוזננסקי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07-08-2011</w:t>
      </w:r>
      <w:r>
        <w:rPr>
          <w:rFonts w:cs="FrankRuehl" w:ascii="FrankRuehl" w:hAnsi="FrankRuehl"/>
          <w:rtl w:val="true"/>
        </w:rPr>
        <w:t xml:space="preserve">): </w:t>
      </w:r>
      <w:hyperlink r:id="rId15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5766/11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יוסף סלמאן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 xml:space="preserve">גיא עין צבי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 xml:space="preserve">להחלטה בעליון </w:t>
      </w:r>
      <w:r>
        <w:rPr>
          <w:rFonts w:cs="FrankRuehl" w:ascii="FrankRuehl" w:hAnsi="FrankRuehl"/>
          <w:rtl w:val="true"/>
        </w:rPr>
        <w:t>(</w:t>
      </w:r>
      <w:r>
        <w:rPr>
          <w:rFonts w:cs="FrankRuehl" w:ascii="FrankRuehl" w:hAnsi="FrankRuehl"/>
        </w:rPr>
        <w:t>14-08-2011</w:t>
      </w:r>
      <w:r>
        <w:rPr>
          <w:rFonts w:cs="FrankRuehl" w:ascii="FrankRuehl" w:hAnsi="FrankRuehl"/>
          <w:rtl w:val="true"/>
        </w:rPr>
        <w:t xml:space="preserve">): </w:t>
      </w:r>
      <w:hyperlink r:id="rId16">
        <w:r>
          <w:rPr>
            <w:rStyle w:val="Hyperlink"/>
            <w:rFonts w:ascii="FrankRuehl" w:hAnsi="FrankRuehl" w:cs="FrankRuehl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</w:rPr>
          <w:t>5766/11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יוסף סלמאן 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 ישראל</w:t>
      </w:r>
      <w:r>
        <w:rPr>
          <w:rFonts w:ascii="FrankRuehl" w:hAnsi="FrankRuehl" w:cs="FrankRuehl"/>
          <w:rtl w:val="true"/>
        </w:rPr>
        <w:t xml:space="preserve"> שופטים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>גרוניס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עו</w:t>
      </w:r>
      <w:r>
        <w:rPr>
          <w:rFonts w:cs="FrankRuehl" w:ascii="FrankRuehl" w:hAnsi="FrankRuehl"/>
          <w:rtl w:val="true"/>
        </w:rPr>
        <w:t>"</w:t>
      </w:r>
      <w:r>
        <w:rPr>
          <w:rFonts w:ascii="FrankRuehl" w:hAnsi="FrankRuehl" w:cs="FrankRuehl"/>
          <w:rtl w:val="true"/>
        </w:rPr>
        <w:t>ד</w:t>
      </w:r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איתמר גלבפיש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גיא עין צבי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שניתנה</w:t>
      </w:r>
      <w:r>
        <w:rPr>
          <w:rFonts w:cs="FrankRuehl" w:ascii="FrankRuehl" w:hAnsi="FrankRuehl"/>
          <w:rtl w:val="true"/>
        </w:rPr>
        <w:t xml:space="preserve">, </w:t>
      </w:r>
      <w:r>
        <w:rPr>
          <w:rFonts w:ascii="FrankRuehl" w:hAnsi="FrankRuehl" w:cs="FrankRuehl"/>
          <w:rtl w:val="true"/>
        </w:rPr>
        <w:t>ז</w:t>
      </w:r>
      <w:r>
        <w:rPr>
          <w:rFonts w:cs="FrankRuehl" w:ascii="FrankRuehl" w:hAnsi="FrankRuehl"/>
          <w:rtl w:val="true"/>
        </w:rPr>
        <w:t xml:space="preserve">' </w:t>
      </w:r>
      <w:r>
        <w:rPr>
          <w:rFonts w:ascii="FrankRuehl" w:hAnsi="FrankRuehl" w:cs="FrankRuehl"/>
          <w:rtl w:val="true"/>
        </w:rPr>
        <w:t xml:space="preserve">כספי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7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  <w:bookmarkStart w:id="11" w:name="Links_Start"/>
      <w:bookmarkStart w:id="12" w:name="Links_Start"/>
      <w:bookmarkEnd w:id="12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13" w:name="PsakDin"/>
      <w:bookmarkEnd w:id="13"/>
      <w:r>
        <w:rPr>
          <w:rFonts w:ascii="Arial" w:hAnsi="Arial" w:cs="Arial"/>
          <w:b/>
          <w:b/>
          <w:bCs/>
          <w:sz w:val="36"/>
          <w:sz w:val="36"/>
          <w:szCs w:val="36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cs="Arial" w:ascii="Arial" w:hAnsi="Arial"/>
          <w:b/>
          <w:bCs/>
          <w:sz w:val="36"/>
          <w:szCs w:val="36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L" w:eastAsia="en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>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bookmarkStart w:id="16" w:name="ABSTRACT_START"/>
      <w:bookmarkEnd w:id="16"/>
      <w:r>
        <w:rPr>
          <w:rFonts w:ascii="Arial" w:hAnsi="Arial" w:cs="Arial"/>
          <w:rtl w:val="true"/>
          <w:lang w:val="en-IL" w:eastAsia="en-IL"/>
        </w:rPr>
        <w:t>הנאשם הודה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במסגרת הסדר דיוני שבו תוקן כתב האישום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בעבירה של </w:t>
      </w:r>
      <w:r>
        <w:rPr>
          <w:rFonts w:ascii="Arial" w:hAnsi="Arial" w:cs="Arial"/>
          <w:b/>
          <w:b/>
          <w:bCs/>
          <w:rtl w:val="true"/>
          <w:lang w:val="en-IL" w:eastAsia="en-IL"/>
        </w:rPr>
        <w:t>רכישת נשק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לפי </w:t>
      </w:r>
      <w:hyperlink r:id="rId19">
        <w:r>
          <w:rPr>
            <w:rStyle w:val="Hyperlink"/>
            <w:rFonts w:ascii="Arial" w:hAnsi="Arial" w:cs="Arial"/>
            <w:rtl w:val="true"/>
            <w:lang w:val="en-IL" w:eastAsia="en-IL"/>
          </w:rPr>
          <w:t>סעיף</w:t>
        </w:r>
        <w:r>
          <w:rPr>
            <w:rStyle w:val="Hyperlink"/>
            <w:rFonts w:ascii="Arial" w:hAnsi="Arial" w:cs="Arial"/>
            <w:rtl w:val="true"/>
            <w:lang w:val="en-IL" w:eastAsia="en-IL"/>
          </w:rPr>
          <w:t xml:space="preserve"> </w:t>
        </w:r>
        <w:r>
          <w:rPr>
            <w:rStyle w:val="Hyperlink"/>
            <w:rFonts w:cs="Arial" w:ascii="Arial" w:hAnsi="Arial"/>
            <w:lang w:val="en-IL" w:eastAsia="en-IL"/>
          </w:rPr>
          <w:t>144</w:t>
        </w:r>
        <w:r>
          <w:rPr>
            <w:rStyle w:val="Hyperlink"/>
            <w:rFonts w:cs="Arial" w:ascii="Arial" w:hAnsi="Arial"/>
            <w:rtl w:val="true"/>
            <w:lang w:val="en-IL" w:eastAsia="en-IL"/>
          </w:rPr>
          <w:t>(</w:t>
        </w:r>
        <w:r>
          <w:rPr>
            <w:rStyle w:val="Hyperlink"/>
            <w:rFonts w:ascii="Arial" w:hAnsi="Arial" w:cs="Arial"/>
            <w:rtl w:val="true"/>
            <w:lang w:val="en-IL" w:eastAsia="en-IL"/>
          </w:rPr>
          <w:t>א</w:t>
        </w:r>
        <w:r>
          <w:rPr>
            <w:rStyle w:val="Hyperlink"/>
            <w:rFonts w:cs="Arial" w:ascii="Arial" w:hAnsi="Arial"/>
            <w:rtl w:val="true"/>
            <w:lang w:val="en-IL" w:eastAsia="en-IL"/>
          </w:rPr>
          <w:t>)</w:t>
        </w:r>
      </w:hyperlink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ל</w:t>
      </w:r>
      <w:r>
        <w:rPr>
          <w:rFonts w:ascii="Arial" w:hAnsi="Arial" w:cs="Arial"/>
          <w:rtl w:val="true"/>
          <w:lang w:val="en-IL" w:eastAsia="en-IL"/>
        </w:rPr>
        <w:t>חוק העונשין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התשל</w:t>
      </w:r>
      <w:r>
        <w:rPr>
          <w:rFonts w:cs="Arial" w:ascii="Arial" w:hAnsi="Arial"/>
          <w:rtl w:val="true"/>
          <w:lang w:val="en-IL" w:eastAsia="en-IL"/>
        </w:rPr>
        <w:t>"</w:t>
      </w:r>
      <w:r>
        <w:rPr>
          <w:rFonts w:ascii="Arial" w:hAnsi="Arial" w:cs="Arial"/>
          <w:rtl w:val="true"/>
          <w:lang w:val="en-IL" w:eastAsia="en-IL"/>
        </w:rPr>
        <w:t>ז</w:t>
      </w:r>
      <w:r>
        <w:rPr>
          <w:rFonts w:cs="Arial" w:ascii="Arial" w:hAnsi="Arial"/>
          <w:rtl w:val="true"/>
          <w:lang w:val="en-IL" w:eastAsia="en-IL"/>
        </w:rPr>
        <w:t>-</w:t>
      </w:r>
      <w:r>
        <w:rPr>
          <w:rFonts w:cs="Arial" w:ascii="Arial" w:hAnsi="Arial"/>
          <w:lang w:val="en-IL" w:eastAsia="en-IL"/>
        </w:rPr>
        <w:t>1977</w:t>
      </w:r>
      <w:bookmarkStart w:id="17" w:name="ABSTRACT_END"/>
      <w:bookmarkEnd w:id="17"/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כמפורט בכתב האישום המתוקן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פנה דאוד מסארווה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אשר כבר נתן את הדין בגין חלקו במעשה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אל הנאשם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בין החודשים ספטמבר ואוקטובר </w:t>
      </w:r>
      <w:r>
        <w:rPr>
          <w:rFonts w:cs="Arial" w:ascii="Arial" w:hAnsi="Arial"/>
          <w:lang w:val="en-IL" w:eastAsia="en-IL"/>
        </w:rPr>
        <w:t>2010</w:t>
      </w:r>
      <w:r>
        <w:rPr>
          <w:rFonts w:cs="Arial" w:ascii="Arial" w:hAnsi="Arial"/>
          <w:rtl w:val="true"/>
          <w:lang w:val="en-IL" w:eastAsia="en-IL"/>
        </w:rPr>
        <w:t xml:space="preserve"> </w:t>
      </w:r>
      <w:r>
        <w:rPr>
          <w:rFonts w:ascii="Arial" w:hAnsi="Arial" w:cs="Arial"/>
          <w:rtl w:val="true"/>
          <w:lang w:val="en-IL" w:eastAsia="en-IL"/>
        </w:rPr>
        <w:t>והציע לו לרכוש ממנו מטען צינור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הנאשם קיבל את המטען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הבטיח את התשלום עבורו בסכום של    </w:t>
      </w:r>
      <w:r>
        <w:rPr>
          <w:rFonts w:cs="Arial" w:ascii="Arial" w:hAnsi="Arial"/>
          <w:lang w:val="en-IL" w:eastAsia="en-IL"/>
        </w:rPr>
        <w:t>100</w:t>
      </w:r>
      <w:r>
        <w:rPr>
          <w:rFonts w:cs="Arial" w:ascii="Arial" w:hAnsi="Arial"/>
          <w:rtl w:val="true"/>
          <w:lang w:val="en-IL" w:eastAsia="en-IL"/>
        </w:rPr>
        <w:t xml:space="preserve"> ₪ </w:t>
      </w:r>
      <w:r>
        <w:rPr>
          <w:rFonts w:ascii="Arial" w:hAnsi="Arial" w:cs="Arial"/>
          <w:rtl w:val="true"/>
          <w:lang w:val="en-IL" w:eastAsia="en-IL"/>
        </w:rPr>
        <w:t>והחביאו במטע זיתים סמוך לטייבה</w:t>
      </w:r>
      <w:r>
        <w:rPr>
          <w:rFonts w:cs="Arial" w:ascii="Arial" w:hAnsi="Arial"/>
          <w:rtl w:val="true"/>
          <w:lang w:val="en-IL" w:eastAsia="en-IL"/>
        </w:rPr>
        <w:t xml:space="preserve">. </w:t>
      </w:r>
      <w:r>
        <w:rPr>
          <w:rFonts w:ascii="Arial" w:hAnsi="Arial" w:cs="Arial"/>
          <w:rtl w:val="true"/>
          <w:lang w:val="en-IL" w:eastAsia="en-IL"/>
        </w:rPr>
        <w:t>לאחר מכן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>נפגשו השניים והנאשם שילם למסארווה עבור מטען הצינור באמצעות מכירת מכשיר סלולארי נייד</w:t>
      </w:r>
      <w:r>
        <w:rPr>
          <w:rFonts w:cs="Arial" w:ascii="Arial" w:hAnsi="Arial"/>
          <w:rtl w:val="true"/>
          <w:lang w:val="en-IL" w:eastAsia="en-IL"/>
        </w:rPr>
        <w:t xml:space="preserve">, </w:t>
      </w:r>
      <w:r>
        <w:rPr>
          <w:rFonts w:ascii="Arial" w:hAnsi="Arial" w:cs="Arial"/>
          <w:rtl w:val="true"/>
          <w:lang w:val="en-IL" w:eastAsia="en-IL"/>
        </w:rPr>
        <w:t xml:space="preserve">בהפחתת </w:t>
      </w:r>
      <w:r>
        <w:rPr>
          <w:rFonts w:cs="Arial" w:ascii="Arial" w:hAnsi="Arial"/>
          <w:lang w:val="en-IL" w:eastAsia="en-IL"/>
        </w:rPr>
        <w:t>100</w:t>
      </w:r>
      <w:r>
        <w:rPr>
          <w:rFonts w:cs="Arial" w:ascii="Arial" w:hAnsi="Arial"/>
          <w:rtl w:val="true"/>
          <w:lang w:val="en-IL" w:eastAsia="en-IL"/>
        </w:rPr>
        <w:t xml:space="preserve"> ₪ </w:t>
      </w:r>
      <w:r>
        <w:rPr>
          <w:rFonts w:ascii="Arial" w:hAnsi="Arial" w:cs="Arial"/>
          <w:rtl w:val="true"/>
          <w:lang w:val="en-IL" w:eastAsia="en-IL"/>
        </w:rPr>
        <w:t>מסכום המכירה</w:t>
      </w:r>
      <w:r>
        <w:rPr>
          <w:rFonts w:cs="Arial" w:ascii="Arial" w:hAnsi="Arial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L" w:eastAsia="en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>התסקיר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הזמנתי תסקיר עבור 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 xml:space="preserve">כבן </w:t>
      </w:r>
      <w:r>
        <w:rPr>
          <w:lang w:val="en-IL" w:eastAsia="en-IL"/>
        </w:rPr>
        <w:t>19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רווק המתגורר בבית הוריו בטייבה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זו עבירתו היחידה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שירות המבחן פירט את קורות חייו ותולדות משפחתו של הנאשם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אביו של הנאשם איננו עובד ומקבל קיצבת נכות ואמו עקרת בית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המשפחה נתונה במצוקה כלכלית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 xml:space="preserve">הוא עצמו סיים 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שנות לימוד בלבד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עקב חוסר מוטיבציה להמשיך בלימודים ורצונו לסייע לפרנסת המשפחה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לאחרונה עבד עם קבלן גינון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במסגרת פיקוח המעצר השתתף בקבוצה טיפולית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 לרוב המפגשים ולאחרונה גילה נכונות לבדוק לעומק את נסיבות מעורבותו בעבירה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 לקח אחריות על ביצועה והסביר את המעשה על רקע לחץ שהפעיל מוכר המטען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 שלל קיומו של סכסוך כלשהו או התחברות לחברה עבריינית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שירות המבחן מצא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 מדובר בבחור צעיר בעל דימוי עצמי נמוך שגילה קשיים לתפקד במסגרות השונות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ניתן להבין את ביצוע העבירה על רקע דימויו העצמי הירוד וכדי לזכות להערכת חבריו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שירות המבחן לא התרשם מקיומם של דפוסי חשיבה והתנהגות עברייניים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על רקע כל אלה סבר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 שליחתו למאסר בעיתוי הנוכחי תביא להידרדרות במצבו והמליץ על חיובו בעונש מאסר בעבודות שירות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אם יוחלט לחייבו במאסר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  <w:lang w:val="en-IL" w:eastAsia="en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>טיעוני הצדדים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 המאשימה עמדה על חומרתה של העבירה וציינה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 מוכר המטען נדון 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20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 מאסר בפועל ומאסר על תנאי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 שהודה בעבירה</w:t>
      </w:r>
      <w:r>
        <w:rPr>
          <w:rtl w:val="true"/>
          <w:lang w:val="en-IL" w:eastAsia="en-IL"/>
        </w:rPr>
        <w:t xml:space="preserve">.  </w:t>
      </w:r>
      <w:r>
        <w:rPr>
          <w:rtl w:val="true"/>
          <w:lang w:val="en-IL" w:eastAsia="en-IL"/>
        </w:rPr>
        <w:t>היא הדגישה את הסיכונים ממטען צינור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שיכול היה למצוא את דרכו לצורך שימוש בו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היא סברה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 אין לקבל את המלצת שירות המבחן והצביעה על הסתייגויות מסויימות בתסקיר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בסיכומם של טיעוניה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עתרה לגזור עליו מאסר בפועל משמעותי ומאסר על תנאי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 xml:space="preserve">הנאשם היה עצור מיום </w:t>
      </w:r>
      <w:r>
        <w:rPr>
          <w:lang w:val="en-IL" w:eastAsia="en-IL"/>
        </w:rPr>
        <w:t>15.11.2010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עד </w:t>
      </w:r>
      <w:r>
        <w:rPr>
          <w:lang w:val="en-IL" w:eastAsia="en-IL"/>
        </w:rPr>
        <w:t>16.12.2010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 הנאשם הפנה לתיקון שנעשה בהוראת החיקוק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כך שחלף עבירת סחר בנשק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הומרה העבירה שיוחסה לנאשם לרכישת 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כבר בכך קיים הבדל מהותי בין השתיים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כולל מבחינת חומרת העבירה וסמכות השיפוט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 xml:space="preserve">הוא הצביע על גילו הצעיר של הנאשם שהיה בזמן המעשה כבן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וחודשיים ובהודעותיו סיפר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לאחר שהודה ברכישת המטען</w:t>
      </w:r>
      <w:r>
        <w:rPr>
          <w:rtl w:val="true"/>
          <w:lang w:val="en-IL" w:eastAsia="en-IL"/>
        </w:rPr>
        <w:t xml:space="preserve">,  </w:t>
      </w:r>
      <w:r>
        <w:rPr>
          <w:rtl w:val="true"/>
          <w:lang w:val="en-IL" w:eastAsia="en-IL"/>
        </w:rPr>
        <w:t>כי קנה אותו בעיקר בגלל הרושם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הוא הדגיש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 הנאשם הוליך את החוקרים למקום בו הסתיר את המטען ומסרו בידי המשטרה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 עצמו הפליל את המוכר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שכפר במיוחס לו בחקירה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ואף התעמת איתו במהלכה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להפללה משמעות מיוחדת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במיוחד במגזר הערבי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הוא ציטט את האמור בתסקיר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לפיו אין לנאשם דפוסי התנהגות עברייניים ואף אין לו הרשעות קודמות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את המעשה ביצע בהשפעת האחר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שהיה בעל עבר פלילי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הסנגור עמד על הקשיים הכלכליים של 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עד כדי כך שאמו התקשתה לגייס את סכום הכסף הנחוץ לצורך הנסיעה לבית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המשפט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מדובר בצעיר בראשית דרכו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שיש למנוע את הידרדרותו ועל כן המלצת שירות המבחן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להימנע מהחזרתו לכלא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היא ראויה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להצדקת עמדתו הפנה לפסיקה שמכוחה הוטל מאסר בפועל בעבודות שירות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גם בעבירות נשק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הנאשם עצמו הביע צער והבהיר כי דבר כזה לא יקרה עוד פעם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כדבריו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  <w:lang w:val="en-IL" w:eastAsia="en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>שיקולי הענישה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על עבירות הנשק נאמר הרבה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זהו נגע רע הפוגע בכל חברה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החזקת נשק שלא כדין עלולה להגיע לכלל שימוש בנשק הזה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לצורך ביצוע עבירות אחרות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במיוחד 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 המדובר בנשק שהוא התקפי מטיבו ונועד לפגוע בבני אדם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להבדיל מנשק להגנה עצמית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השופטת ביניש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כתארה דאז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נתנה בנשק סימנים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בכל הנוגע לעונש הראוי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בנסיבות כל מקרה ומקרה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</w:t>
      </w:r>
      <w:r>
        <w:rPr>
          <w:rtl w:val="true"/>
          <w:lang w:val="en-IL" w:eastAsia="en-IL"/>
        </w:rPr>
        <w:t>-</w:t>
      </w:r>
      <w:hyperlink r:id="rId20">
        <w:r>
          <w:rPr>
            <w:rStyle w:val="Hyperlink"/>
            <w:rtl w:val="true"/>
            <w:lang w:val="en-IL" w:eastAsia="en-IL"/>
          </w:rPr>
          <w:t>ע</w:t>
        </w:r>
        <w:r>
          <w:rPr>
            <w:rStyle w:val="Hyperlink"/>
            <w:rtl w:val="true"/>
            <w:lang w:val="en-IL" w:eastAsia="en-IL"/>
          </w:rPr>
          <w:t>"</w:t>
        </w:r>
        <w:r>
          <w:rPr>
            <w:rStyle w:val="Hyperlink"/>
            <w:rtl w:val="true"/>
            <w:lang w:val="en-IL" w:eastAsia="en-IL"/>
          </w:rPr>
          <w:t xml:space="preserve">פ </w:t>
        </w:r>
        <w:r>
          <w:rPr>
            <w:rStyle w:val="Hyperlink"/>
            <w:lang w:val="en-IL" w:eastAsia="en-IL"/>
          </w:rPr>
          <w:t>1332/04</w:t>
        </w:r>
        <w:r>
          <w:rPr>
            <w:rStyle w:val="Hyperlink"/>
            <w:rtl w:val="true"/>
            <w:lang w:val="en-IL" w:eastAsia="en-IL"/>
          </w:rPr>
          <w:t xml:space="preserve"> </w:t>
        </w:r>
        <w:r>
          <w:rPr>
            <w:rStyle w:val="Hyperlink"/>
            <w:rtl w:val="true"/>
            <w:lang w:val="en-IL" w:eastAsia="en-IL"/>
          </w:rPr>
          <w:t>מדינת ישראל נ</w:t>
        </w:r>
        <w:r>
          <w:rPr>
            <w:rStyle w:val="Hyperlink"/>
            <w:rtl w:val="true"/>
            <w:lang w:val="en-IL" w:eastAsia="en-IL"/>
          </w:rPr>
          <w:t xml:space="preserve">' </w:t>
        </w:r>
        <w:r>
          <w:rPr>
            <w:rStyle w:val="Hyperlink"/>
            <w:rtl w:val="true"/>
            <w:lang w:val="en-IL" w:eastAsia="en-IL"/>
          </w:rPr>
          <w:t>פס ואח</w:t>
        </w:r>
        <w:r>
          <w:rPr>
            <w:rStyle w:val="Hyperlink"/>
            <w:rtl w:val="true"/>
            <w:lang w:val="en-IL" w:eastAsia="en-IL"/>
          </w:rPr>
          <w:t>'</w:t>
        </w:r>
      </w:hyperlink>
      <w:r>
        <w:rPr>
          <w:color w:val="000000"/>
          <w:rtl w:val="true"/>
          <w:lang w:val="en-IL" w:eastAsia="en-IL"/>
        </w:rPr>
        <w:t xml:space="preserve">, </w:t>
      </w:r>
      <w:r>
        <w:rPr>
          <w:color w:val="000000"/>
          <w:rtl w:val="true"/>
          <w:lang w:val="en-IL" w:eastAsia="en-IL"/>
        </w:rPr>
        <w:t>םפד</w:t>
      </w:r>
      <w:r>
        <w:rPr>
          <w:color w:val="000000"/>
          <w:rtl w:val="true"/>
          <w:lang w:val="en-IL" w:eastAsia="en-IL"/>
        </w:rPr>
        <w:t>"</w:t>
      </w:r>
      <w:r>
        <w:rPr>
          <w:color w:val="000000"/>
          <w:rtl w:val="true"/>
          <w:lang w:val="en-IL" w:eastAsia="en-IL"/>
        </w:rPr>
        <w:t>י נח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) </w:t>
      </w:r>
      <w:r>
        <w:rPr>
          <w:lang w:val="en-IL" w:eastAsia="en-IL"/>
        </w:rPr>
        <w:t>541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בעמ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543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כבר נאמר לא אחת בפסיקתנו כי מידת העונש המוטל בגין עבירות המבוצעות בנשק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מושפעת מפוטנציאל הסיכון הרב הטמון בנשק המוחזק שלא כדין ומהעברתו מיד ליד ללא פיקוח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בבוא בית המשפט לגזור את הדין בעבירה של החזקה ונשיאה של נשק עליו להתחשב בנסיבות שבהן באה לידי ביטוי החומרה המיוחדת שבעבירה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בין היתר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ייתן בית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המשפט דעתו של סוג הנשק המוחזק שלא כדין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על כמותו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על התכלית שלשמה הוא מוחזק ועל הסכנה המוחשית שיעשה בו שימוש</w:t>
      </w:r>
      <w:r>
        <w:rPr>
          <w:b/>
          <w:bCs/>
          <w:rtl w:val="true"/>
          <w:lang w:val="en-IL" w:eastAsia="en-IL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עוד ב</w:t>
      </w:r>
      <w:r>
        <w:rPr>
          <w:rtl w:val="true"/>
          <w:lang w:val="en-IL" w:eastAsia="en-IL"/>
        </w:rPr>
        <w:t>-</w:t>
      </w:r>
      <w:r>
        <w:rPr>
          <w:color w:val="000000"/>
          <w:rtl w:val="true"/>
          <w:lang w:val="en-IL" w:eastAsia="en-IL"/>
        </w:rPr>
        <w:t>ע</w:t>
      </w:r>
      <w:r>
        <w:rPr>
          <w:color w:val="000000"/>
          <w:rtl w:val="true"/>
          <w:lang w:val="en-IL" w:eastAsia="en-IL"/>
        </w:rPr>
        <w:t>"</w:t>
      </w:r>
      <w:r>
        <w:rPr>
          <w:color w:val="000000"/>
          <w:rtl w:val="true"/>
          <w:lang w:val="en-IL" w:eastAsia="en-IL"/>
        </w:rPr>
        <w:t xml:space="preserve">פ </w:t>
      </w:r>
      <w:r>
        <w:rPr>
          <w:color w:val="000000"/>
          <w:lang w:val="en-IL" w:eastAsia="en-IL"/>
        </w:rPr>
        <w:t>910/85</w:t>
      </w:r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קונדוס ואח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 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תק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 xml:space="preserve">על </w:t>
      </w:r>
      <w:r>
        <w:rPr>
          <w:lang w:val="en-IL" w:eastAsia="en-IL"/>
        </w:rPr>
        <w:t>86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), </w:t>
      </w:r>
      <w:r>
        <w:rPr>
          <w:lang w:val="en-IL" w:eastAsia="en-IL"/>
        </w:rPr>
        <w:t>670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דיבר 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 בך אודות הענישה הקשה הראויה לעברייני הנשק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וכך אמר שם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אין אנו יכולים להתעלם מהעובדה שהחזקת נשק שלא כדין הינה עבירה נפוצה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אשר מסכנת את בטחון הציבור במידה רצינית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והדברים ידועים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חשוב שתחדור לתודעת כל תושבי המדינה ידיעה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שמי שביודעין מקבל לרשותו כלי נשק שלא כדין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צפוי בגין עבירה זו לעונש מכאיב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אפילו אין הוא מתכוון אישית לבצע פשע מסויים ומוגדר בעזרת הנשק האמור</w:t>
      </w:r>
      <w:r>
        <w:rPr>
          <w:b/>
          <w:bCs/>
          <w:rtl w:val="true"/>
          <w:lang w:val="en-IL" w:eastAsia="en-IL"/>
        </w:rPr>
        <w:t>."</w:t>
      </w:r>
    </w:p>
    <w:p>
      <w:pPr>
        <w:pStyle w:val="Normal"/>
        <w:spacing w:lineRule="auto" w:line="360"/>
        <w:ind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 רובינשטיין דיבר על ההחמרה הנחוצה בעבירות מן הסוג הזה ב</w:t>
      </w:r>
      <w:r>
        <w:rPr>
          <w:rtl w:val="true"/>
          <w:lang w:val="en-IL" w:eastAsia="en-IL"/>
        </w:rPr>
        <w:t>-</w:t>
      </w:r>
      <w:hyperlink r:id="rId21">
        <w:r>
          <w:rPr>
            <w:rStyle w:val="Hyperlink"/>
            <w:b/>
            <w:b/>
            <w:bCs/>
            <w:rtl w:val="true"/>
            <w:lang w:val="en-IL" w:eastAsia="en-IL"/>
          </w:rPr>
          <w:t>ע</w:t>
        </w:r>
        <w:r>
          <w:rPr>
            <w:rStyle w:val="Hyperlink"/>
            <w:b/>
            <w:bCs/>
            <w:rtl w:val="true"/>
            <w:lang w:val="en-IL" w:eastAsia="en-IL"/>
          </w:rPr>
          <w:t>"</w:t>
        </w:r>
        <w:r>
          <w:rPr>
            <w:rStyle w:val="Hyperlink"/>
            <w:b/>
            <w:b/>
            <w:bCs/>
            <w:rtl w:val="true"/>
            <w:lang w:val="en-IL" w:eastAsia="en-IL"/>
          </w:rPr>
          <w:t xml:space="preserve">פ </w:t>
        </w:r>
        <w:r>
          <w:rPr>
            <w:rStyle w:val="Hyperlink"/>
            <w:b/>
            <w:bCs/>
            <w:lang w:val="en-IL" w:eastAsia="en-IL"/>
          </w:rPr>
          <w:t>3361/08</w:t>
        </w:r>
        <w:r>
          <w:rPr>
            <w:rStyle w:val="Hyperlink"/>
            <w:b/>
            <w:bCs/>
            <w:rtl w:val="true"/>
            <w:lang w:val="en-IL" w:eastAsia="en-IL"/>
          </w:rPr>
          <w:t xml:space="preserve"> </w:t>
        </w:r>
        <w:r>
          <w:rPr>
            <w:rStyle w:val="Hyperlink"/>
            <w:b/>
            <w:b/>
            <w:bCs/>
            <w:rtl w:val="true"/>
            <w:lang w:val="en-IL" w:eastAsia="en-IL"/>
          </w:rPr>
          <w:t>ליבוביץ ואח</w:t>
        </w:r>
        <w:r>
          <w:rPr>
            <w:rStyle w:val="Hyperlink"/>
            <w:b/>
            <w:bCs/>
            <w:rtl w:val="true"/>
            <w:lang w:val="en-IL" w:eastAsia="en-IL"/>
          </w:rPr>
          <w:t xml:space="preserve">' </w:t>
        </w:r>
        <w:r>
          <w:rPr>
            <w:rStyle w:val="Hyperlink"/>
            <w:b/>
            <w:b/>
            <w:bCs/>
            <w:rtl w:val="true"/>
            <w:lang w:val="en-IL" w:eastAsia="en-IL"/>
          </w:rPr>
          <w:t>נ</w:t>
        </w:r>
        <w:r>
          <w:rPr>
            <w:rStyle w:val="Hyperlink"/>
            <w:b/>
            <w:bCs/>
            <w:rtl w:val="true"/>
            <w:lang w:val="en-IL" w:eastAsia="en-IL"/>
          </w:rPr>
          <w:t xml:space="preserve">' </w:t>
        </w:r>
        <w:r>
          <w:rPr>
            <w:rStyle w:val="Hyperlink"/>
            <w:b/>
            <w:b/>
            <w:bCs/>
            <w:rtl w:val="true"/>
            <w:lang w:val="en-IL" w:eastAsia="en-IL"/>
          </w:rPr>
          <w:t>מדינת ישראל</w:t>
        </w:r>
      </w:hyperlink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תק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 xml:space="preserve">על </w:t>
      </w:r>
      <w:r>
        <w:rPr>
          <w:lang w:val="en-IL" w:eastAsia="en-IL"/>
        </w:rPr>
        <w:t>2008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), </w:t>
      </w:r>
      <w:r>
        <w:rPr>
          <w:lang w:val="en-IL" w:eastAsia="en-IL"/>
        </w:rPr>
        <w:t>2211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540"/>
        <w:jc w:val="both"/>
        <w:rPr>
          <w:b/>
          <w:bCs/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באשר לעבירות בנשק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בית משפט זה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שבתוך עמו הוא יושב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חזר פעמים אין ספור על היחס המחמיר שיש לנקוט כלפיהן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הדברים ברורים כשמש</w:t>
      </w:r>
      <w:r>
        <w:rPr>
          <w:b/>
          <w:bCs/>
          <w:rtl w:val="true"/>
          <w:lang w:val="en-IL" w:eastAsia="en-IL"/>
        </w:rPr>
        <w:t xml:space="preserve">; </w:t>
      </w:r>
      <w:r>
        <w:rPr>
          <w:b/>
          <w:b/>
          <w:bCs/>
          <w:rtl w:val="true"/>
          <w:lang w:val="en-IL" w:eastAsia="en-IL"/>
        </w:rPr>
        <w:t>המחזיקים בנשק בעבירה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או הסוחרים בו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על פי רוב ובכלל אינם עושים זאת אלא לצרכי עבירות אחרות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הכרוכות באלימות או בהפחדה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נשק נועד לירות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וטבעו גם שבשעת ה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צורך הסובייקטיבי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זדוני ומרושע ככל שיהיה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עלולה האצבע להיות קלה על ההדק</w:t>
      </w:r>
      <w:r>
        <w:rPr>
          <w:b/>
          <w:bCs/>
          <w:rtl w:val="true"/>
          <w:lang w:val="en-IL" w:eastAsia="en-IL"/>
        </w:rPr>
        <w:t>".</w:t>
      </w:r>
    </w:p>
    <w:p>
      <w:pPr>
        <w:pStyle w:val="Normal"/>
        <w:ind w:end="0"/>
        <w:jc w:val="start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start"/>
        <w:rPr>
          <w:lang w:val="en-IL" w:eastAsia="en-IL"/>
        </w:rPr>
      </w:pPr>
      <w:r>
        <w:rPr>
          <w:rtl w:val="true"/>
          <w:lang w:val="en-IL" w:eastAsia="en-IL"/>
        </w:rPr>
        <w:t>מדיניות הענישה בעבירות הנשק היא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אם 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מדיניות של החמרה וככלל יש לגזור על העבריינים עונשים של מאסר לריצוי בפועל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שקלתי את נסיבות ענייננו ולא ראיתי כי ניתן להימנע מעונש כזה גם בענייננו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לפיכך לא אוכל לקבל את המלצת שירות המבחן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לקחתי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אמנם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בחשבון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את כל הנסיבות המקלות ובהן את הודייתו של 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את היותו חסר הרשעות קודמות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העובדה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 הוא צעיר בגילו שהודה גם בחקירתו והסגיר את מטען החבלה וכן את זאת שהפליל את מוכר הנשק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אולם כל אלה אינם יכולים למנוע את הצורך מלהרתיע עבריינים בכוח אחרים מלבצע עבירות כאלה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במיוחד כשהמדובר בנשק שהוא מטען חבלה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מסוכן עוד יותר מנשק שהוא כלי ירייה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את הנסיבות לקולא אקח בחשבון בעת קציבת עונש המאסר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עונשו של המוכר נגזר 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20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 מאסר 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נראה לי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בנסיבות ענייננו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 עונשו של נאשם 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הקונה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ראוי להיות מחצית מאותו עונש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  <w:lang w:val="en-IL" w:eastAsia="en-IL"/>
        </w:rPr>
      </w:pPr>
      <w:r>
        <w:rPr>
          <w:b/>
          <w:b/>
          <w:bCs/>
          <w:sz w:val="28"/>
          <w:sz w:val="28"/>
          <w:szCs w:val="28"/>
          <w:u w:val="single"/>
          <w:rtl w:val="true"/>
          <w:lang w:val="en-IL" w:eastAsia="en-IL"/>
        </w:rPr>
        <w:t>הענישה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סיכומם של דברים הוא שאני גוזר על הנאשם את העונשים הבאים</w:t>
      </w:r>
      <w:r>
        <w:rPr>
          <w:rtl w:val="true"/>
          <w:lang w:val="en-IL" w:eastAsia="en-IL"/>
        </w:rPr>
        <w:t>:</w:t>
      </w:r>
    </w:p>
    <w:p>
      <w:pPr>
        <w:pStyle w:val="Normal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lang w:val="en-IL" w:eastAsia="en-IL"/>
        </w:rPr>
        <w:t>1</w:t>
      </w:r>
      <w:r>
        <w:rPr>
          <w:rtl w:val="true"/>
          <w:lang w:val="en-IL" w:eastAsia="en-IL"/>
        </w:rPr>
        <w:t>.</w:t>
        <w:tab/>
      </w:r>
      <w:r>
        <w:rPr>
          <w:lang w:val="en-IL" w:eastAsia="en-IL"/>
        </w:rPr>
        <w:t>10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 מאסר 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 xml:space="preserve">בניכוי תקופת מעצרו מיום </w:t>
      </w:r>
      <w:r>
        <w:rPr>
          <w:lang w:val="en-IL" w:eastAsia="en-IL"/>
        </w:rPr>
        <w:t>15.11.2010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ועד יום  </w:t>
      </w:r>
      <w:r>
        <w:rPr>
          <w:lang w:val="en-IL" w:eastAsia="en-IL"/>
        </w:rPr>
        <w:t>16.12.2010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lang w:val="en-IL" w:eastAsia="en-IL"/>
        </w:rPr>
        <w:t>2</w:t>
      </w:r>
      <w:r>
        <w:rPr>
          <w:rtl w:val="true"/>
          <w:lang w:val="en-IL" w:eastAsia="en-IL"/>
        </w:rPr>
        <w:t>.</w:t>
        <w:tab/>
      </w:r>
      <w:r>
        <w:rPr>
          <w:lang w:val="en-IL" w:eastAsia="en-IL"/>
        </w:rPr>
        <w:t>12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 מאסר על תנאי 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שלא יעבור במהלך תקופה זו עבירת נשק כלשהי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הנאשם יתייצב לתחילת ריצוי עונשו ביום </w:t>
      </w:r>
      <w:r>
        <w:rPr>
          <w:lang w:val="en-IL" w:eastAsia="en-IL"/>
        </w:rPr>
        <w:t>17.8.11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בשעה </w:t>
      </w:r>
      <w:r>
        <w:rPr>
          <w:lang w:val="en-IL" w:eastAsia="en-IL"/>
        </w:rPr>
        <w:t>11:00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במזכירות הפלילית של ביהמ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ש המחוזי מרכז בפתח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תקווה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כשברשותו תעודת זיהוי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 יתייצב כנדרש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תוצא נגדו פקודת מאסר והוא ייאסר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הערבויות יעמדו בעינם להבטחת התייצבותו של הנאשם לתחילת ריצוי עונשו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מגבלת מעצר הבית המלא תוקל והנאשם ישהה מעתה במעצר בית מלא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 xml:space="preserve">החל מן השעה </w:t>
      </w:r>
      <w:r>
        <w:rPr>
          <w:lang w:val="en-IL" w:eastAsia="en-IL"/>
        </w:rPr>
        <w:t>21:00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ועד השעה </w:t>
      </w:r>
      <w:r>
        <w:rPr>
          <w:lang w:val="en-IL" w:eastAsia="en-IL"/>
        </w:rPr>
        <w:t>07:00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למחרת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 xml:space="preserve">זכות ערעור לבית המשפט העליון בתוך </w:t>
      </w:r>
      <w:r>
        <w:rPr>
          <w:lang w:val="en-IL" w:eastAsia="en-IL"/>
        </w:rPr>
        <w:t>45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ימים מהיום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David"/>
        <w:spacing w:lineRule="auto" w:line="24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ניתן והודע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24733-11-10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יוסף סלמאן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857399" TargetMode="External"/><Relationship Id="rId3" Type="http://schemas.openxmlformats.org/officeDocument/2006/relationships/hyperlink" Target="http://www.nevo.co.il/case/4857399" TargetMode="External"/><Relationship Id="rId4" Type="http://schemas.openxmlformats.org/officeDocument/2006/relationships/hyperlink" Target="http://www.nevo.co.il/case/4857399" TargetMode="External"/><Relationship Id="rId5" Type="http://schemas.openxmlformats.org/officeDocument/2006/relationships/hyperlink" Target="http://www.nevo.co.il/case/4857399" TargetMode="External"/><Relationship Id="rId6" Type="http://schemas.openxmlformats.org/officeDocument/2006/relationships/hyperlink" Target="http://www.nevo.co.il/case/4857399" TargetMode="External"/><Relationship Id="rId7" Type="http://schemas.openxmlformats.org/officeDocument/2006/relationships/hyperlink" Target="http://www.nevo.co.il/case/4857399" TargetMode="External"/><Relationship Id="rId8" Type="http://schemas.openxmlformats.org/officeDocument/2006/relationships/hyperlink" Target="http://www.nevo.co.il/case/6032009" TargetMode="External"/><Relationship Id="rId9" Type="http://schemas.openxmlformats.org/officeDocument/2006/relationships/hyperlink" Target="http://www.nevo.co.il/case/4857399" TargetMode="External"/><Relationship Id="rId10" Type="http://schemas.openxmlformats.org/officeDocument/2006/relationships/hyperlink" Target="http://www.nevo.co.il/case/4857399" TargetMode="External"/><Relationship Id="rId11" Type="http://schemas.openxmlformats.org/officeDocument/2006/relationships/hyperlink" Target="http://www.nevo.co.il/case/4857399" TargetMode="External"/><Relationship Id="rId12" Type="http://schemas.openxmlformats.org/officeDocument/2006/relationships/hyperlink" Target="http://www.nevo.co.il/case/4857399" TargetMode="External"/><Relationship Id="rId13" Type="http://schemas.openxmlformats.org/officeDocument/2006/relationships/hyperlink" Target="http://www.nevo.co.il/case/4857399" TargetMode="External"/><Relationship Id="rId14" Type="http://schemas.openxmlformats.org/officeDocument/2006/relationships/hyperlink" Target="http://www.nevo.co.il/case/4857399" TargetMode="External"/><Relationship Id="rId15" Type="http://schemas.openxmlformats.org/officeDocument/2006/relationships/hyperlink" Target="http://www.nevo.co.il/case/6032009" TargetMode="External"/><Relationship Id="rId16" Type="http://schemas.openxmlformats.org/officeDocument/2006/relationships/hyperlink" Target="http://www.nevo.co.il/case/603200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a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case/5762686" TargetMode="External"/><Relationship Id="rId21" Type="http://schemas.openxmlformats.org/officeDocument/2006/relationships/hyperlink" Target="http://www.nevo.co.il/case/5891607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2016-05-03T11:26:00Z</dcterms:created>
  <dc:creator> </dc:creator>
  <dc:description/>
  <cp:keywords/>
  <dc:language>en-IL</dc:language>
  <cp:lastModifiedBy>hofit</cp:lastModifiedBy>
  <dcterms:modified xsi:type="dcterms:W3CDTF">2016-05-03T11:26:00Z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יוסף סלמאן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NOTES2">
    <vt:lpwstr>ProcID=133;209&amp;PartA=910&amp;PartC=85</vt:lpwstr>
  </property>
  <property fmtid="{D5CDD505-2E9C-101B-9397-08002B2CF9AE}" pid="10" name="CASESLISTTMP1">
    <vt:lpwstr>4857399:12;6032009:3;5891605</vt:lpwstr>
  </property>
  <property fmtid="{D5CDD505-2E9C-101B-9397-08002B2CF9AE}" pid="11" name="CITY">
    <vt:lpwstr>מרכז</vt:lpwstr>
  </property>
  <property fmtid="{D5CDD505-2E9C-101B-9397-08002B2CF9AE}" pid="12" name="DATE">
    <vt:lpwstr>20110718</vt:lpwstr>
  </property>
  <property fmtid="{D5CDD505-2E9C-101B-9397-08002B2CF9AE}" pid="13" name="DELEMATA">
    <vt:lpwstr>http://elyon2.court.gov.il/scripts9/mgrqispi93.dll?Appname=eScourt&amp;Prgname=GetFileDetails&amp;Arguments=-N2011-005766-0</vt:lpwstr>
  </property>
  <property fmtid="{D5CDD505-2E9C-101B-9397-08002B2CF9AE}" pid="14" name="ISABSTRACT">
    <vt:lpwstr>Y</vt:lpwstr>
  </property>
  <property fmtid="{D5CDD505-2E9C-101B-9397-08002B2CF9AE}" pid="15" name="JUDGE">
    <vt:lpwstr>זכריה כספי</vt:lpwstr>
  </property>
  <property fmtid="{D5CDD505-2E9C-101B-9397-08002B2CF9AE}" pid="16" name="LAWLISTTMP1">
    <vt:lpwstr>70301/144.a</vt:lpwstr>
  </property>
  <property fmtid="{D5CDD505-2E9C-101B-9397-08002B2CF9AE}" pid="17" name="LAWYER">
    <vt:lpwstr>רונית פוזננסקי;גיא עין צבי</vt:lpwstr>
  </property>
  <property fmtid="{D5CDD505-2E9C-101B-9397-08002B2CF9AE}" pid="18" name="LINKK1">
    <vt:lpwstr>http://www.nevo.co.il/Psika_word/mechozi/ME-10-11-24733-934.doc;להחלטה במחוזי (14-11-2010)#תפ 24733-11-10 מדינת ישראל נ' יוסף סלמאן (עציר)#שופטים: לפני מיכל ברנט#עו''ד: מיטל אילן, עין צבי, הובא, שב"ס</vt:lpwstr>
  </property>
  <property fmtid="{D5CDD505-2E9C-101B-9397-08002B2CF9AE}" pid="19" name="LINKK10">
    <vt:lpwstr>http://www.nevo.co.il/Psika_word/mechozi/ME-10-11-24733-677.doc;להחלטה במחוזי (10-02-2011)#תפ 24733-11-10 מדינת ישראל נ' יוסף סלמאן#שופטים: זכריה כספי#עו''ד: יעל תרם, גיא עין צבי</vt:lpwstr>
  </property>
  <property fmtid="{D5CDD505-2E9C-101B-9397-08002B2CF9AE}" pid="20" name="LINKK11">
    <vt:lpwstr>http://www.nevo.co.il/Psika_word/mechozi/ME-10-11-24733-41.doc;להכרעת-דין במחוזי (17-02-2011)#תפ 24733-11-10 מדינת ישראל נ' יוסף סלמאן#שופטים: זכריה כספי#עו''ד: סוזאן טוחי, גיא עין צבי</vt:lpwstr>
  </property>
  <property fmtid="{D5CDD505-2E9C-101B-9397-08002B2CF9AE}" pid="21" name="LINKK12">
    <vt:lpwstr>http://www.nevo.co.il/Psika_word/mechozi/ME-10-11-24733-312.doc;להחלטה במחוזי (09-06-2011)#תפ 24733-11-10 מדינת ישראל נ' יוסף סלמאן#שופטים: זכריה כספי#עו''ד: מירב עמר, גיא עין צבי</vt:lpwstr>
  </property>
  <property fmtid="{D5CDD505-2E9C-101B-9397-08002B2CF9AE}" pid="22" name="LINKK2">
    <vt:lpwstr>http://www.nevo.co.il/Psika_word/mechozi/ME-10-11-24733-394.doc;להחלטה במחוזי (06-01-2011)#תפ 24733-11-10 מדינת ישראל נ' יוסף סלמאן#שופטים: זכריה כספי#עו''ד: אביב שרון, אסנת בן דוד</vt:lpwstr>
  </property>
  <property fmtid="{D5CDD505-2E9C-101B-9397-08002B2CF9AE}" pid="23" name="LINKK3">
    <vt:lpwstr>http://www.nevo.co.il/Psika_word/mechozi/ME-10-11-24733-677.doc;להחלטה במחוזי (10-02-2011)#תפ 24733-11-10 מדינת ישראל נ' יוסף סלמאן#שופטים: זכריה כספי#עו''ד: יעל תרם, גיא עין צבי</vt:lpwstr>
  </property>
  <property fmtid="{D5CDD505-2E9C-101B-9397-08002B2CF9AE}" pid="24" name="LINKK4">
    <vt:lpwstr>http://www.nevo.co.il/Psika_word/mechozi/ME-10-11-24733-41.doc;להכרעת-דין במחוזי (17-02-2011)#תפ 24733-11-10 מדינת ישראל נ' יוסף סלמאן#שופטים: זכריה כספי#עו''ד: סוזאן טוחי, גיא עין צבי</vt:lpwstr>
  </property>
  <property fmtid="{D5CDD505-2E9C-101B-9397-08002B2CF9AE}" pid="25" name="LINKK5">
    <vt:lpwstr>http://www.nevo.co.il/Psika_word/mechozi/ME-10-11-24733-312.doc;להחלטה במחוזי (09-06-2011)#תפ 24733-11-10 מדינת ישראל נ' יוסף סלמאן#שופטים: זכריה כספי#עו''ד: מירב עמר, גיא עין צבי</vt:lpwstr>
  </property>
  <property fmtid="{D5CDD505-2E9C-101B-9397-08002B2CF9AE}" pid="26" name="LINKK6">
    <vt:lpwstr>http://www.nevo.co.il/Psika_word/mechozi/ME-10-11-24733-566.doc;להחלטה במחוזי (26-06-2011)#תפ 24733-11-10 מדינת ישראל נ' יוסף סלמאן#שופטים: זכריה כספי#עו''ד: רונית פוזננסקי, גיא עין צבי</vt:lpwstr>
  </property>
  <property fmtid="{D5CDD505-2E9C-101B-9397-08002B2CF9AE}" pid="27" name="LINKK7">
    <vt:lpwstr>http://www.nevo.co.il/Psika_word/elyon/11057660-s01.doc;להחלטה בעליון (07-08-2011)#עפ 5766/11 יוסף סלמאן נ' מדינת ישראל#שופטים: א' גרוניס#עו''ד: גיא עין צבי</vt:lpwstr>
  </property>
  <property fmtid="{D5CDD505-2E9C-101B-9397-08002B2CF9AE}" pid="28" name="LINKK8">
    <vt:lpwstr>http://www.nevo.co.il/Psika_word/mechozi/ME-10-11-24733-934.doc;להחלטה במחוזי (14-11-2010)#תפ 24733-11-10 מדינת ישראל נ' יוסף סלמאן (עציר)#שופטים: לפני מיכל ברנט#עו''ד: מיטל אילן, עין צבי, הובא, שב"ס</vt:lpwstr>
  </property>
  <property fmtid="{D5CDD505-2E9C-101B-9397-08002B2CF9AE}" pid="29" name="LINKK9">
    <vt:lpwstr>http://www.nevo.co.il/Psika_word/mechozi/ME-10-11-24733-394.doc;להחלטה במחוזי (06-01-2011)#תפ 24733-11-10 מדינת ישראל נ' יוסף סלמאן#שופטים: זכריה כספי#עו''ד: אביב שרון, אסנת בן דוד</vt:lpwstr>
  </property>
  <property fmtid="{D5CDD505-2E9C-101B-9397-08002B2CF9AE}" pid="30" name="NEWPARTA">
    <vt:lpwstr>24733</vt:lpwstr>
  </property>
  <property fmtid="{D5CDD505-2E9C-101B-9397-08002B2CF9AE}" pid="31" name="NEWPARTB">
    <vt:lpwstr>11</vt:lpwstr>
  </property>
  <property fmtid="{D5CDD505-2E9C-101B-9397-08002B2CF9AE}" pid="32" name="NEWPARTC">
    <vt:lpwstr>10</vt:lpwstr>
  </property>
  <property fmtid="{D5CDD505-2E9C-101B-9397-08002B2CF9AE}" pid="33" name="NEWPROC">
    <vt:lpwstr>תפ</vt:lpwstr>
  </property>
  <property fmtid="{D5CDD505-2E9C-101B-9397-08002B2CF9AE}" pid="34" name="PADIMAIL">
    <vt:lpwstr/>
  </property>
  <property fmtid="{D5CDD505-2E9C-101B-9397-08002B2CF9AE}" pid="35" name="PAGE">
    <vt:lpwstr/>
  </property>
  <property fmtid="{D5CDD505-2E9C-101B-9397-08002B2CF9AE}" pid="36" name="PART">
    <vt:lpwstr/>
  </property>
  <property fmtid="{D5CDD505-2E9C-101B-9397-08002B2CF9AE}" pid="37" name="PROCESS">
    <vt:lpwstr/>
  </property>
  <property fmtid="{D5CDD505-2E9C-101B-9397-08002B2CF9AE}" pid="38" name="PROCNUM">
    <vt:lpwstr/>
  </property>
  <property fmtid="{D5CDD505-2E9C-101B-9397-08002B2CF9AE}" pid="39" name="PROCYEAR">
    <vt:lpwstr/>
  </property>
  <property fmtid="{D5CDD505-2E9C-101B-9397-08002B2CF9AE}" pid="40" name="PSAKDIN">
    <vt:lpwstr>גזר-דין</vt:lpwstr>
  </property>
  <property fmtid="{D5CDD505-2E9C-101B-9397-08002B2CF9AE}" pid="41" name="TYPE">
    <vt:lpwstr>2</vt:lpwstr>
  </property>
  <property fmtid="{D5CDD505-2E9C-101B-9397-08002B2CF9AE}" pid="42" name="TYPE_ABS_DATE">
    <vt:lpwstr>390020110718</vt:lpwstr>
  </property>
  <property fmtid="{D5CDD505-2E9C-101B-9397-08002B2CF9AE}" pid="43" name="TYPE_N_DATE">
    <vt:lpwstr>39020110718</vt:lpwstr>
  </property>
  <property fmtid="{D5CDD505-2E9C-101B-9397-08002B2CF9AE}" pid="44" name="VOLUME">
    <vt:lpwstr/>
  </property>
  <property fmtid="{D5CDD505-2E9C-101B-9397-08002B2CF9AE}" pid="45" name="WORDNUMPAGES">
    <vt:lpwstr>5</vt:lpwstr>
  </property>
</Properties>
</file>