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24791-05-11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עבדאללה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נשיאה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שולמית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דותן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לביבה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עבדאללה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נאשמת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>נוכחים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מעיין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מתמחה</w:t>
      </w:r>
    </w:p>
    <w:p>
      <w:pPr>
        <w:pStyle w:val="Normal"/>
        <w:ind w:end="0"/>
        <w:jc w:val="start"/>
        <w:rPr/>
      </w:pPr>
      <w:bookmarkStart w:id="2" w:name="LawTable"/>
      <w:bookmarkEnd w:id="2"/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עוואדה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6" w:name="ABSTRACT_START"/>
      <w:bookmarkEnd w:id="6"/>
      <w:r>
        <w:rPr>
          <w:rFonts w:ascii="Arial" w:hAnsi="Arial" w:cs="Arial"/>
          <w:rtl w:val="true"/>
        </w:rPr>
        <w:t>על פי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19/07/09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21:00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 החזיקה הנאשמת בביתה שבכפר עין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נקובא אקדח חצי אוטומטי אף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אן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FN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ושתי מחסניות תואמות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7" w:name="ABSTRACT_END"/>
      <w:bookmarkEnd w:id="7"/>
      <w:r>
        <w:rPr>
          <w:rFonts w:ascii="Arial" w:hAnsi="Arial" w:cs="Arial"/>
          <w:rtl w:val="true"/>
        </w:rPr>
        <w:t>במסגרת תשובתה לכתב האישום טענה הנאשמת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הנשק שייך לבן דודה אשר החביא אותו ברשותה לאחר שירה בו יריות שמחה במהלך חתונה של קרוב 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היא מודה בעובדות כתב האישום בנסיבות 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יסוד הודאתה זו הורשעה הנאשמת ביום </w:t>
      </w:r>
      <w:r>
        <w:rPr>
          <w:rFonts w:cs="Arial" w:ascii="Arial" w:hAnsi="Arial"/>
        </w:rPr>
        <w:t>09/01/13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בעבירה של החזקת נשק לפי 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החוק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ובעבירה של החזקת אביזר לנשק 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מתסקיר שירות מבחן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הנאשמת בת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גרושה ואם לשני ילדים בני תשע ועשר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מתגוררת יחד עם אמה ואחיה בן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בכפר עין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נקובא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התסקיר מתאר נסיבות חיים שאינן קלות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מפאת כבודה של הנאשמת והגנה על פרטיותה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ומאחר שלמרבית הנתונים המובאים בתסקיר שרות המבחן אודות נסיבותיה האישיות של הנאשמת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קשר הכרחי לפרטי העבירות שביצעה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לא אביא בגזר דין זה את תאור הדברים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בנוגע לעבירות הנדונות ציין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הנאשמת משליכה האחריות לביצוען על בן דודה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ניצל לדבריה את תמימותה באומרו 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בנשק השייך לאביו ומוחזק על ידו ברשיון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עם זאת ציין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הנאשמת ביטאה בפניו מודעות מסוימת לבעייתיות הגלומה בהתנהגותה ולצורך לפעול בצורה אחרת במקרים דומים בעתיד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והתרשמותו היא כי ההליך דנן מהווה גורם מרתיע דיו עבור הנאשמת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סופו של דבר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בא שירות המבחן בהמלצה להטיל על הנאשמת 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בצירוף צו מבחן למשך 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כעונש שמטרתו לסייע לנאשמת בהתמודדות עם בעיותיה השונות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רקע תסקיר זה נשמעו ביום </w:t>
      </w:r>
      <w:r>
        <w:rPr>
          <w:rFonts w:cs="Arial" w:ascii="Arial" w:hAnsi="Arial"/>
        </w:rPr>
        <w:t>10/11/13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הטיעונים לעונש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התובעת ביקשה להטיל על הנאשמת עונש מאסר לתקופה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ההולם לטענתה את חומרת העבירה ואת מתחם הענישה שנקבע בגין עבירה זו בפסיקה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ועומד לדבריה על מאסר בפועל לתקופה של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לדידה של המאשימה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מכלול השקולים העומדים במקרה זה לזכותה של הנאשמת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ובהם עברה הנקי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גילה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הזמן הרב שחלף מאז ביצוע העבירה והודאתה במיוחס לה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מטים את לשון המאזניים לשליש התחתון של המתחם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לאמץ המלצתו של שירות המבחן ולהסתפק בענישה צופת פני עתיד בשילוב צו 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המתחייבת לדבריו מהנסיבות המאוד מיוחדות הן של ביצוע העבירה והן של הנאשמת עצמה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לגבי נסיבות ביצוע העבירה טען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העבירה בוצעה על רקע מעמדה הנחות של הנאשמת  בחברה ערבית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והנאשמת לא יכולה היתה למעשה לסרב לבקשת בן דודה להחביא את הנשק ברשותה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החבאת הנשק בבית הנאשמת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הדגיש הסניגור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נעשתה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בן דודה ללא שיתוף פעולה מצדה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והיתה נעשית אף אלמלא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הסכמתה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הנאשמת לכך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 xml:space="preserve">בנוסף ביקש הסניגור להדגיש את התקופה הקצרה במהלכה הוחבא הנשק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לילה אחד בלבד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ברשות הנאשמת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את העובדה כי הנשק  לא הושג על ידי הנאשמת באופן בלתי חוקי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נרכש על ידה לצורכי סחר או לצרכים פליליים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נעשה בו כל שימוש מעבר ליריות השמחה שנורו ממנו במהלך החתונה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לגבי נסיבותיה האישיות של הנאשמת טען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התסקיר מדבר בעד עצמו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הנאשמת היא אישה גרושה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קשת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המטופלת בשני ילדים קטנים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בעלת רקע משפחתי מורכב ובעייתי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 חרף נסיבות חייה הקשות</w:t>
      </w:r>
      <w:r>
        <w:rPr>
          <w:rFonts w:cs="Arial" w:ascii="Arial" w:hAnsi="Arial"/>
          <w:rtl w:val="true"/>
        </w:rPr>
        <w:t xml:space="preserve">-  </w:t>
      </w:r>
      <w:r>
        <w:rPr>
          <w:rFonts w:ascii="Arial" w:hAnsi="Arial" w:cs="Arial"/>
          <w:rtl w:val="true"/>
        </w:rPr>
        <w:t>עברה הפלילי הוא ללא רבב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מטפלת בשני ילדיה ומשתדלת ככל יכולתה לפרנס אותם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בענין זה טען הסניגור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בניגוד לאמור בתסקיר המבחן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כי הנאשמת עובדת כיום בעבודה מסודרת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עבודות נקיון בבית ספר במשך 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 מדי יום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עוד הדגיש הסניגור בדבריו את 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הנאשמת הודתה במיוחס 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במהלך ארבע השנים שחלפו מאז ביצוע העבירה דנן היא לא  היתה מעורבת בפלילים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וכי  כתב האישום נגדה הוגש  כשנתיים לאחר האירוע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 xml:space="preserve">חשיבות יתרה ייחס הסניגור לעובדה  כי שיתוף הפעולה של הנאשמת עם המשטרה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הנוגע למעורבותו של בן דודה בביצוע העבירה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הוביל בסופו של דבר להרעת מצבה של הנאשמת במקום להטבת מצבה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 מעמדה הנחות בתוך משפחתה אזרה  הנאשמת אומץ  והפלילה את בן דודה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להוכיח צדקתה ולהביא לסגירת התיק נגדה</w:t>
      </w:r>
      <w:r>
        <w:rPr>
          <w:rFonts w:cs="Arial" w:ascii="Arial" w:hAnsi="Arial"/>
          <w:rtl w:val="true"/>
        </w:rPr>
        <w:t xml:space="preserve">-   </w:t>
      </w:r>
      <w:r>
        <w:rPr>
          <w:rFonts w:ascii="Arial" w:hAnsi="Arial" w:cs="Arial"/>
          <w:rtl w:val="true"/>
        </w:rPr>
        <w:t>אלא שהפרקליטות לא רק שלא סגרה התיק נגד הנאשמת  אלא הגדילה עשות והגישה כתב אישום נפרד נגד בן דודה של הנאשמת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להשוות כביכול את מעמדם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ובכך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סיבכה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את הנאשמת עם משפחתה הגרעינית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עובדה זו צריכה להיזקף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לטענת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לטובתה של הנאשמת ולהביא להקלה בעונשה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כבר נאמר כי  מלאכת גזירת הדין איננה מעשה מכונה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אם איזון עדין ומורכב בין שקולי ענישה 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לצד חומרת העבירה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השקולים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להחזיקו</w:t>
      </w:r>
      <w:r>
        <w:rPr>
          <w:rtl w:val="true"/>
        </w:rPr>
        <w:t xml:space="preserve">,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ההדק</w:t>
      </w:r>
      <w:r>
        <w:rPr>
          <w:rtl w:val="true"/>
        </w:rPr>
        <w:t xml:space="preserve">", </w:t>
      </w:r>
      <w:r>
        <w:rPr>
          <w:rtl w:val="true"/>
        </w:rPr>
        <w:t>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המעניקה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Cs/>
          <w:rtl w:val="true"/>
        </w:rPr>
        <w:t xml:space="preserve">"..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שתחדור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שביודעין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מכאיב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בך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910/85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קונדוס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670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ממקמות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</w:t>
      </w:r>
      <w:r>
        <w:rPr>
          <w:rtl w:val="true"/>
        </w:rPr>
        <w:t xml:space="preserve">. 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הסניגור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כזכור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במסגרת השקולים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להתעלם גם מהקוד התרבותי של החברה המוסלמית בה חיה הנאשמת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לענין נפיצות התופעה של החזקת ונשיאת נשק לצורך יריית יריות שמחה באירוע חתונה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שהינה בגדר חזיון נפוץ באותה 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והן לענין אי יכולתה המעשית של הנאשמת לסרב להחבאת הנשק בביתה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מעמדה הנחות מול הגבר במשפחה המוסלמית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על פיו יישק דבר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FileNumber"/>
        <w:ind w:end="0"/>
        <w:jc w:val="both"/>
        <w:rPr>
          <w:rStyle w:val="default"/>
          <w:b/>
          <w:bCs/>
          <w:sz w:val="22"/>
        </w:rPr>
      </w:pPr>
      <w:r>
        <w:rPr>
          <w:rStyle w:val="default"/>
          <w:b/>
          <w:b/>
          <w:bCs/>
          <w:sz w:val="22"/>
          <w:sz w:val="22"/>
          <w:rtl w:val="true"/>
        </w:rPr>
        <w:t>הטענה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שמעלה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הסניגור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הנה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טענה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של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Cs/>
          <w:sz w:val="22"/>
          <w:rtl w:val="true"/>
        </w:rPr>
        <w:t>"</w:t>
      </w:r>
      <w:r>
        <w:rPr>
          <w:rStyle w:val="default"/>
          <w:sz w:val="22"/>
          <w:sz w:val="22"/>
          <w:rtl w:val="true"/>
        </w:rPr>
        <w:t>הגנה</w:t>
      </w:r>
      <w:r>
        <w:rPr>
          <w:rStyle w:val="default"/>
          <w:rFonts w:cs="Times New Roman"/>
          <w:sz w:val="22"/>
          <w:sz w:val="22"/>
          <w:rtl w:val="true"/>
        </w:rPr>
        <w:t xml:space="preserve"> </w:t>
      </w:r>
      <w:r>
        <w:rPr>
          <w:rStyle w:val="default"/>
          <w:sz w:val="22"/>
          <w:sz w:val="22"/>
          <w:rtl w:val="true"/>
        </w:rPr>
        <w:t>תרבותית</w:t>
      </w:r>
      <w:r>
        <w:rPr>
          <w:rStyle w:val="default"/>
          <w:b/>
          <w:bCs/>
          <w:sz w:val="22"/>
          <w:rtl w:val="true"/>
        </w:rPr>
        <w:t xml:space="preserve">", </w:t>
      </w:r>
      <w:r>
        <w:rPr>
          <w:rStyle w:val="default"/>
          <w:b/>
          <w:b/>
          <w:bCs/>
          <w:sz w:val="22"/>
          <w:sz w:val="22"/>
          <w:rtl w:val="true"/>
        </w:rPr>
        <w:t>לפיה</w:t>
      </w:r>
      <w:r>
        <w:rPr>
          <w:rStyle w:val="default"/>
          <w:b/>
          <w:bCs/>
          <w:sz w:val="22"/>
          <w:rtl w:val="true"/>
        </w:rPr>
        <w:t xml:space="preserve">, </w:t>
      </w:r>
      <w:r>
        <w:rPr>
          <w:rStyle w:val="default"/>
          <w:b/>
          <w:b/>
          <w:bCs/>
          <w:sz w:val="22"/>
          <w:sz w:val="22"/>
          <w:rtl w:val="true"/>
        </w:rPr>
        <w:t>אם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ביצוע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העבירה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הפלילית</w:t>
      </w:r>
      <w:r>
        <w:rPr>
          <w:rStyle w:val="default"/>
          <w:b/>
          <w:bCs/>
          <w:sz w:val="22"/>
          <w:rtl w:val="true"/>
        </w:rPr>
        <w:t xml:space="preserve">, </w:t>
      </w:r>
      <w:r>
        <w:rPr>
          <w:rStyle w:val="default"/>
          <w:b/>
          <w:b/>
          <w:bCs/>
          <w:sz w:val="22"/>
          <w:sz w:val="22"/>
          <w:rtl w:val="true"/>
        </w:rPr>
        <w:t>הינו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בגדר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מעשה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שנעשה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בהתאם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למנהג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מושרש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בתרבות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מסוימת</w:t>
      </w:r>
      <w:r>
        <w:rPr>
          <w:rStyle w:val="default"/>
          <w:b/>
          <w:bCs/>
          <w:sz w:val="22"/>
          <w:rtl w:val="true"/>
        </w:rPr>
        <w:t xml:space="preserve">, </w:t>
      </w:r>
      <w:r>
        <w:rPr>
          <w:rStyle w:val="default"/>
          <w:b/>
          <w:b/>
          <w:bCs/>
          <w:sz w:val="22"/>
          <w:sz w:val="22"/>
          <w:rtl w:val="true"/>
        </w:rPr>
        <w:t>כי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אז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על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ביהמ</w:t>
      </w:r>
      <w:r>
        <w:rPr>
          <w:rStyle w:val="default"/>
          <w:b/>
          <w:bCs/>
          <w:sz w:val="22"/>
          <w:rtl w:val="true"/>
        </w:rPr>
        <w:t>"</w:t>
      </w:r>
      <w:r>
        <w:rPr>
          <w:rStyle w:val="default"/>
          <w:b/>
          <w:b/>
          <w:bCs/>
          <w:sz w:val="22"/>
          <w:sz w:val="22"/>
          <w:rtl w:val="true"/>
        </w:rPr>
        <w:t>ש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להתחשב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בכך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לקולא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בעת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מתן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גזר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הדין</w:t>
      </w:r>
      <w:r>
        <w:rPr>
          <w:rStyle w:val="default"/>
          <w:b/>
          <w:bCs/>
          <w:sz w:val="22"/>
          <w:rtl w:val="true"/>
        </w:rPr>
        <w:t xml:space="preserve">. </w:t>
      </w:r>
    </w:p>
    <w:p>
      <w:pPr>
        <w:pStyle w:val="FileNumber"/>
        <w:ind w:end="0"/>
        <w:jc w:val="both"/>
        <w:rPr>
          <w:rStyle w:val="default"/>
          <w:b/>
          <w:bCs/>
          <w:sz w:val="24"/>
        </w:rPr>
      </w:pPr>
      <w:r>
        <w:rPr>
          <w:rtl w:val="true"/>
        </w:rPr>
      </w:r>
    </w:p>
    <w:p>
      <w:pPr>
        <w:pStyle w:val="FileNumber"/>
        <w:ind w:end="0"/>
        <w:jc w:val="both"/>
        <w:rPr>
          <w:sz w:val="18"/>
          <w:szCs w:val="22"/>
        </w:rPr>
      </w:pPr>
      <w:r>
        <w:rPr>
          <w:rStyle w:val="default"/>
          <w:b/>
          <w:b/>
          <w:bCs/>
          <w:sz w:val="22"/>
          <w:sz w:val="22"/>
          <w:rtl w:val="true"/>
        </w:rPr>
        <w:t>בפסיקה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בארץ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נבחנו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השפעות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של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תפיסות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עולם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תרבותיות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בעיקר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בהתייחס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לטענה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בדבר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קינטור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בעבירות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אלימות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או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רצח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על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רקע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חילול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כבוד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המשפחה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Cs/>
          <w:sz w:val="22"/>
          <w:rtl w:val="true"/>
        </w:rPr>
        <w:t>(</w:t>
      </w:r>
      <w:r>
        <w:rPr>
          <w:rStyle w:val="default"/>
          <w:b/>
          <w:b/>
          <w:bCs/>
          <w:sz w:val="22"/>
          <w:sz w:val="22"/>
          <w:rtl w:val="true"/>
        </w:rPr>
        <w:t>ראה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למשל</w:t>
      </w:r>
      <w:r>
        <w:rPr>
          <w:rStyle w:val="default"/>
          <w:b/>
          <w:bCs/>
          <w:sz w:val="22"/>
          <w:rtl w:val="true"/>
        </w:rPr>
        <w:t xml:space="preserve">:  </w:t>
      </w:r>
      <w:hyperlink r:id="rId8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2"/>
            <w:sz w:val="22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Times New Roman"/>
            <w:b/>
            <w:bCs/>
            <w:color w:val="0000FF"/>
            <w:sz w:val="22"/>
            <w:szCs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2"/>
            <w:sz w:val="22"/>
            <w:szCs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2"/>
            <w:sz w:val="22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b/>
            <w:bCs/>
            <w:color w:val="0000FF"/>
            <w:sz w:val="22"/>
            <w:szCs w:val="26"/>
            <w:u w:val="single"/>
          </w:rPr>
          <w:t>10828/03</w:t>
        </w:r>
      </w:hyperlink>
      <w:r>
        <w:rPr>
          <w:rStyle w:val="default"/>
          <w:b/>
          <w:bCs/>
          <w:sz w:val="22"/>
          <w:rtl w:val="true"/>
        </w:rPr>
        <w:t xml:space="preserve"> </w:t>
      </w:r>
      <w:r>
        <w:rPr>
          <w:rStyle w:val="default"/>
          <w:sz w:val="22"/>
          <w:sz w:val="22"/>
          <w:rtl w:val="true"/>
        </w:rPr>
        <w:t>טאהא</w:t>
      </w:r>
      <w:r>
        <w:rPr>
          <w:rStyle w:val="default"/>
          <w:rFonts w:cs="Times New Roman"/>
          <w:sz w:val="22"/>
          <w:sz w:val="22"/>
          <w:rtl w:val="true"/>
        </w:rPr>
        <w:t xml:space="preserve"> </w:t>
      </w:r>
      <w:r>
        <w:rPr>
          <w:rStyle w:val="default"/>
          <w:sz w:val="22"/>
          <w:sz w:val="22"/>
          <w:rtl w:val="true"/>
        </w:rPr>
        <w:t>נג</w:t>
      </w:r>
      <w:r>
        <w:rPr>
          <w:rStyle w:val="default"/>
          <w:sz w:val="22"/>
          <w:rtl w:val="true"/>
        </w:rPr>
        <w:t>'</w:t>
      </w:r>
      <w:r>
        <w:rPr>
          <w:rStyle w:val="default"/>
          <w:sz w:val="22"/>
          <w:sz w:val="22"/>
          <w:rtl w:val="true"/>
        </w:rPr>
        <w:t>אר</w:t>
      </w:r>
      <w:r>
        <w:rPr>
          <w:rStyle w:val="default"/>
          <w:rFonts w:cs="Times New Roman"/>
          <w:sz w:val="22"/>
          <w:sz w:val="22"/>
          <w:rtl w:val="true"/>
        </w:rPr>
        <w:t xml:space="preserve"> </w:t>
      </w:r>
      <w:r>
        <w:rPr>
          <w:rStyle w:val="default"/>
          <w:sz w:val="22"/>
          <w:sz w:val="22"/>
          <w:rtl w:val="true"/>
        </w:rPr>
        <w:t>נ</w:t>
      </w:r>
      <w:r>
        <w:rPr>
          <w:rStyle w:val="default"/>
          <w:sz w:val="22"/>
          <w:rtl w:val="true"/>
        </w:rPr>
        <w:t xml:space="preserve">' </w:t>
      </w:r>
      <w:r>
        <w:rPr>
          <w:rStyle w:val="default"/>
          <w:sz w:val="22"/>
          <w:sz w:val="22"/>
          <w:rtl w:val="true"/>
        </w:rPr>
        <w:t>מדינת</w:t>
      </w:r>
      <w:r>
        <w:rPr>
          <w:rStyle w:val="default"/>
          <w:rFonts w:cs="Times New Roman"/>
          <w:sz w:val="22"/>
          <w:sz w:val="22"/>
          <w:rtl w:val="true"/>
        </w:rPr>
        <w:t xml:space="preserve"> </w:t>
      </w:r>
      <w:r>
        <w:rPr>
          <w:rStyle w:val="default"/>
          <w:sz w:val="22"/>
          <w:sz w:val="22"/>
          <w:rtl w:val="true"/>
        </w:rPr>
        <w:t>ישראל</w:t>
      </w:r>
      <w:r>
        <w:rPr>
          <w:rStyle w:val="default"/>
          <w:rFonts w:cs="Times New Roman"/>
          <w:sz w:val="22"/>
          <w:sz w:val="22"/>
          <w:rtl w:val="true"/>
        </w:rPr>
        <w:t xml:space="preserve"> </w:t>
      </w:r>
      <w:r>
        <w:rPr>
          <w:rStyle w:val="default"/>
          <w:sz w:val="22"/>
          <w:rtl w:val="true"/>
        </w:rPr>
        <w:t>,</w:t>
      </w:r>
      <w:r>
        <w:rPr>
          <w:rStyle w:val="default"/>
          <w:b/>
          <w:bCs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מיום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Cs/>
          <w:sz w:val="22"/>
        </w:rPr>
        <w:t>27/08/05</w:t>
      </w:r>
      <w:r>
        <w:rPr>
          <w:rStyle w:val="default"/>
          <w:b/>
          <w:bCs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פורסם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בנבו</w:t>
      </w:r>
      <w:r>
        <w:rPr>
          <w:rStyle w:val="default"/>
          <w:b/>
          <w:bCs/>
          <w:sz w:val="22"/>
          <w:rtl w:val="true"/>
        </w:rPr>
        <w:t xml:space="preserve">) </w:t>
      </w:r>
      <w:r>
        <w:rPr>
          <w:rStyle w:val="default"/>
          <w:b/>
          <w:b/>
          <w:bCs/>
          <w:sz w:val="22"/>
          <w:sz w:val="22"/>
          <w:rtl w:val="true"/>
        </w:rPr>
        <w:t>ובהקשר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של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הכאת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ילדים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לצורכי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Style w:val="default"/>
          <w:b/>
          <w:b/>
          <w:bCs/>
          <w:sz w:val="22"/>
          <w:sz w:val="22"/>
          <w:rtl w:val="true"/>
        </w:rPr>
        <w:t>חינוך</w:t>
      </w:r>
      <w:r>
        <w:rPr>
          <w:rStyle w:val="default"/>
          <w:rFonts w:cs="Times New Roman"/>
          <w:b/>
          <w:b/>
          <w:bCs/>
          <w:sz w:val="22"/>
          <w:sz w:val="22"/>
          <w:rtl w:val="true"/>
        </w:rPr>
        <w:t xml:space="preserve"> </w:t>
      </w:r>
      <w:hyperlink r:id="rId9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2"/>
            <w:sz w:val="22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b/>
            <w:bCs/>
            <w:color w:val="0000FF"/>
            <w:sz w:val="22"/>
            <w:szCs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2"/>
            <w:sz w:val="22"/>
            <w:szCs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b/>
            <w:bCs/>
            <w:color w:val="0000FF"/>
            <w:sz w:val="22"/>
            <w:szCs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2"/>
            <w:sz w:val="22"/>
            <w:szCs w:val="26"/>
            <w:u w:val="single"/>
            <w:rtl w:val="true"/>
          </w:rPr>
          <w:t>שלום</w:t>
        </w:r>
        <w:r>
          <w:rPr>
            <w:rStyle w:val="Hyperlink"/>
            <w:rFonts w:ascii="Times New Roman" w:hAnsi="Times New Roman" w:cs="Times New Roman"/>
            <w:b/>
            <w:bCs/>
            <w:color w:val="0000FF"/>
            <w:sz w:val="22"/>
            <w:szCs w:val="26"/>
            <w:u w:val="single"/>
            <w:rtl w:val="true"/>
          </w:rPr>
          <w:t>-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2"/>
            <w:sz w:val="22"/>
            <w:szCs w:val="26"/>
            <w:u w:val="single"/>
            <w:rtl w:val="true"/>
          </w:rPr>
          <w:t>כ</w:t>
        </w:r>
        <w:r>
          <w:rPr>
            <w:rStyle w:val="Hyperlink"/>
            <w:rFonts w:ascii="Times New Roman" w:hAnsi="Times New Roman" w:cs="Times New Roman"/>
            <w:b/>
            <w:bCs/>
            <w:color w:val="0000FF"/>
            <w:sz w:val="22"/>
            <w:szCs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2"/>
            <w:sz w:val="22"/>
            <w:szCs w:val="26"/>
            <w:u w:val="single"/>
            <w:rtl w:val="true"/>
          </w:rPr>
          <w:t>ס</w:t>
        </w:r>
        <w:r>
          <w:rPr>
            <w:rStyle w:val="Hyperlink"/>
            <w:rFonts w:ascii="Times New Roman" w:hAnsi="Times New Roman" w:cs="Times New Roman"/>
            <w:b/>
            <w:bCs/>
            <w:color w:val="0000FF"/>
            <w:sz w:val="22"/>
            <w:szCs w:val="26"/>
            <w:u w:val="single"/>
            <w:rtl w:val="true"/>
          </w:rPr>
          <w:t xml:space="preserve">)  </w:t>
        </w:r>
        <w:r>
          <w:rPr>
            <w:rStyle w:val="Hyperlink"/>
            <w:rFonts w:ascii="Times New Roman" w:hAnsi="Times New Roman" w:cs="Times New Roman"/>
            <w:b/>
            <w:bCs/>
            <w:color w:val="0000FF"/>
            <w:sz w:val="22"/>
            <w:szCs w:val="26"/>
            <w:u w:val="single"/>
          </w:rPr>
          <w:t>1801/04</w:t>
        </w:r>
      </w:hyperlink>
      <w:r>
        <w:rPr>
          <w:rStyle w:val="default"/>
          <w:b/>
          <w:bCs/>
          <w:sz w:val="22"/>
          <w:rtl w:val="true"/>
        </w:rPr>
        <w:t xml:space="preserve"> </w:t>
      </w:r>
      <w:r>
        <w:rPr>
          <w:rStyle w:val="default"/>
          <w:sz w:val="22"/>
          <w:sz w:val="22"/>
          <w:rtl w:val="true"/>
        </w:rPr>
        <w:t>מדינת</w:t>
      </w:r>
      <w:r>
        <w:rPr>
          <w:rStyle w:val="default"/>
          <w:rFonts w:cs="Times New Roman"/>
          <w:sz w:val="22"/>
          <w:sz w:val="22"/>
          <w:rtl w:val="true"/>
        </w:rPr>
        <w:t xml:space="preserve"> </w:t>
      </w:r>
      <w:r>
        <w:rPr>
          <w:rStyle w:val="default"/>
          <w:sz w:val="22"/>
          <w:sz w:val="22"/>
          <w:rtl w:val="true"/>
        </w:rPr>
        <w:t>ישראל</w:t>
      </w:r>
      <w:r>
        <w:rPr>
          <w:rStyle w:val="default"/>
          <w:rFonts w:cs="Times New Roman"/>
          <w:sz w:val="22"/>
          <w:sz w:val="22"/>
          <w:rtl w:val="true"/>
        </w:rPr>
        <w:t xml:space="preserve"> </w:t>
      </w:r>
      <w:r>
        <w:rPr>
          <w:rStyle w:val="default"/>
          <w:sz w:val="22"/>
          <w:sz w:val="22"/>
          <w:rtl w:val="true"/>
        </w:rPr>
        <w:t>נ</w:t>
      </w:r>
      <w:r>
        <w:rPr>
          <w:rStyle w:val="default"/>
          <w:sz w:val="22"/>
          <w:rtl w:val="true"/>
        </w:rPr>
        <w:t xml:space="preserve">' </w:t>
      </w:r>
      <w:r>
        <w:rPr>
          <w:rStyle w:val="default"/>
          <w:sz w:val="22"/>
          <w:sz w:val="22"/>
          <w:rtl w:val="true"/>
        </w:rPr>
        <w:t>יוסף</w:t>
      </w:r>
      <w:r>
        <w:rPr>
          <w:rStyle w:val="default"/>
          <w:rFonts w:cs="Times New Roman"/>
          <w:sz w:val="22"/>
          <w:sz w:val="22"/>
          <w:rtl w:val="true"/>
        </w:rPr>
        <w:t xml:space="preserve"> </w:t>
      </w:r>
      <w:r>
        <w:rPr>
          <w:rStyle w:val="default"/>
          <w:sz w:val="22"/>
          <w:sz w:val="22"/>
          <w:rtl w:val="true"/>
        </w:rPr>
        <w:t>בן</w:t>
      </w:r>
      <w:r>
        <w:rPr>
          <w:rStyle w:val="default"/>
          <w:rFonts w:cs="Times New Roman"/>
          <w:sz w:val="22"/>
          <w:sz w:val="22"/>
          <w:rtl w:val="true"/>
        </w:rPr>
        <w:t xml:space="preserve"> </w:t>
      </w:r>
      <w:r>
        <w:rPr>
          <w:rStyle w:val="default"/>
          <w:sz w:val="22"/>
          <w:sz w:val="22"/>
          <w:rtl w:val="true"/>
        </w:rPr>
        <w:t>אברהם</w:t>
      </w:r>
      <w:r>
        <w:rPr>
          <w:rStyle w:val="default"/>
          <w:rFonts w:cs="Times New Roman"/>
          <w:sz w:val="22"/>
          <w:sz w:val="22"/>
          <w:rtl w:val="true"/>
        </w:rPr>
        <w:t xml:space="preserve"> </w:t>
      </w:r>
      <w:r>
        <w:rPr>
          <w:rStyle w:val="default"/>
          <w:sz w:val="22"/>
          <w:sz w:val="22"/>
          <w:rtl w:val="true"/>
        </w:rPr>
        <w:t>הר</w:t>
      </w:r>
      <w:r>
        <w:rPr>
          <w:rStyle w:val="default"/>
          <w:rFonts w:cs="Times New Roman"/>
          <w:sz w:val="22"/>
          <w:sz w:val="22"/>
          <w:rtl w:val="true"/>
        </w:rPr>
        <w:t xml:space="preserve"> </w:t>
      </w:r>
      <w:r>
        <w:rPr>
          <w:rStyle w:val="default"/>
          <w:sz w:val="22"/>
          <w:sz w:val="22"/>
          <w:rtl w:val="true"/>
        </w:rPr>
        <w:t>נוי</w:t>
      </w:r>
      <w:r>
        <w:rPr>
          <w:rStyle w:val="default"/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 w:val="false"/>
          <w:sz w:val="18"/>
          <w:sz w:val="18"/>
          <w:szCs w:val="22"/>
          <w:rtl w:val="true"/>
        </w:rPr>
        <w:t>מיום</w:t>
      </w:r>
      <w:r>
        <w:rPr>
          <w:rFonts w:cs="Times New Roman"/>
          <w:b/>
          <w:b/>
          <w:bCs w:val="false"/>
          <w:sz w:val="18"/>
          <w:sz w:val="18"/>
          <w:szCs w:val="22"/>
          <w:rtl w:val="true"/>
        </w:rPr>
        <w:t xml:space="preserve"> </w:t>
      </w:r>
      <w:r>
        <w:rPr>
          <w:b/>
          <w:bCs w:val="false"/>
          <w:sz w:val="18"/>
          <w:szCs w:val="22"/>
        </w:rPr>
        <w:t>27/06/05</w:t>
      </w:r>
      <w:r>
        <w:rPr>
          <w:b/>
          <w:bCs w:val="false"/>
          <w:sz w:val="18"/>
          <w:szCs w:val="22"/>
          <w:rtl w:val="true"/>
        </w:rPr>
        <w:t xml:space="preserve"> , </w:t>
      </w:r>
      <w:r>
        <w:rPr>
          <w:b/>
          <w:b/>
          <w:bCs w:val="false"/>
          <w:sz w:val="18"/>
          <w:sz w:val="18"/>
          <w:szCs w:val="22"/>
          <w:rtl w:val="true"/>
        </w:rPr>
        <w:t>נבו</w:t>
      </w:r>
      <w:r>
        <w:rPr>
          <w:b/>
          <w:bCs w:val="false"/>
          <w:sz w:val="18"/>
          <w:szCs w:val="22"/>
          <w:rtl w:val="true"/>
        </w:rPr>
        <w:t>).</w:t>
      </w:r>
    </w:p>
    <w:p>
      <w:pPr>
        <w:pStyle w:val="FileNumber"/>
        <w:ind w:end="0"/>
        <w:jc w:val="both"/>
        <w:rPr>
          <w:b/>
          <w:bCs w:val="false"/>
          <w:sz w:val="18"/>
          <w:szCs w:val="22"/>
        </w:rPr>
      </w:pPr>
      <w:r>
        <w:rPr>
          <w:b/>
          <w:bCs w:val="false"/>
          <w:sz w:val="18"/>
          <w:szCs w:val="22"/>
          <w:rtl w:val="true"/>
        </w:rPr>
      </w:r>
    </w:p>
    <w:p>
      <w:pPr>
        <w:pStyle w:val="FileNumber"/>
        <w:ind w:end="0"/>
        <w:jc w:val="both"/>
        <w:rPr>
          <w:b/>
          <w:bCs w:val="false"/>
        </w:rPr>
      </w:pPr>
      <w:r>
        <w:rPr>
          <w:b/>
          <w:b/>
          <w:bCs w:val="false"/>
          <w:rtl w:val="true"/>
        </w:rPr>
        <w:t>ההגנה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התרבותית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נדחתה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ע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י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ביהמ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ש</w:t>
      </w:r>
      <w:r>
        <w:rPr>
          <w:rFonts w:cs="Times New Roman"/>
          <w:b/>
          <w:b/>
          <w:bCs w:val="false"/>
          <w:rtl w:val="true"/>
        </w:rPr>
        <w:t xml:space="preserve">  </w:t>
      </w:r>
      <w:r>
        <w:rPr>
          <w:b/>
          <w:b/>
          <w:bCs w:val="false"/>
          <w:rtl w:val="true"/>
        </w:rPr>
        <w:t>באופן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שיטתי</w:t>
      </w:r>
      <w:r>
        <w:rPr>
          <w:rFonts w:cs="Times New Roman"/>
          <w:b/>
          <w:b/>
          <w:bCs w:val="false"/>
          <w:rtl w:val="true"/>
        </w:rPr>
        <w:t xml:space="preserve">  </w:t>
      </w:r>
      <w:r>
        <w:rPr>
          <w:b/>
          <w:b/>
          <w:bCs w:val="false"/>
          <w:rtl w:val="true"/>
        </w:rPr>
        <w:t>בכל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הנוגע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לעבירות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אשר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עניינן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פגיעה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בחיי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אדם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כך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למשל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u w:val="single"/>
          <w:rtl w:val="true"/>
        </w:rPr>
        <w:t>בענין</w:t>
      </w:r>
      <w:r>
        <w:rPr>
          <w:rFonts w:cs="Times New Roman"/>
          <w:b/>
          <w:b/>
          <w:bCs w:val="false"/>
          <w:u w:val="single"/>
          <w:rtl w:val="true"/>
        </w:rPr>
        <w:t xml:space="preserve"> </w:t>
      </w:r>
      <w:r>
        <w:rPr>
          <w:b/>
          <w:b/>
          <w:bCs w:val="false"/>
          <w:u w:val="single"/>
          <w:rtl w:val="true"/>
        </w:rPr>
        <w:t>פלוני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ציינה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כב</w:t>
      </w:r>
      <w:r>
        <w:rPr>
          <w:b/>
          <w:bCs w:val="false"/>
          <w:rtl w:val="true"/>
        </w:rPr>
        <w:t xml:space="preserve">' </w:t>
      </w:r>
      <w:r>
        <w:rPr>
          <w:b/>
          <w:b/>
          <w:bCs w:val="false"/>
          <w:rtl w:val="true"/>
        </w:rPr>
        <w:t>השופטת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ע</w:t>
      </w:r>
      <w:r>
        <w:rPr>
          <w:b/>
          <w:bCs w:val="false"/>
          <w:rtl w:val="true"/>
        </w:rPr>
        <w:t xml:space="preserve">' </w:t>
      </w:r>
      <w:r>
        <w:rPr>
          <w:b/>
          <w:b/>
          <w:bCs w:val="false"/>
          <w:rtl w:val="true"/>
        </w:rPr>
        <w:t>ארבל</w:t>
      </w:r>
      <w:r>
        <w:rPr>
          <w:rFonts w:cs="Times New Roman"/>
          <w:b/>
          <w:b/>
          <w:bCs w:val="false"/>
          <w:rtl w:val="true"/>
        </w:rPr>
        <w:t xml:space="preserve">  </w:t>
      </w:r>
      <w:r>
        <w:rPr>
          <w:b/>
          <w:b/>
          <w:bCs w:val="false"/>
          <w:rtl w:val="true"/>
        </w:rPr>
        <w:t>בענין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זה</w:t>
      </w:r>
      <w:r>
        <w:rPr>
          <w:b/>
          <w:bCs w:val="false"/>
          <w:rtl w:val="true"/>
        </w:rPr>
        <w:t>:</w:t>
      </w:r>
    </w:p>
    <w:p>
      <w:pPr>
        <w:pStyle w:val="FileNumber"/>
        <w:ind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FileNumber"/>
        <w:ind w:end="0"/>
        <w:jc w:val="both"/>
        <w:rPr>
          <w:sz w:val="24"/>
        </w:rPr>
      </w:pPr>
      <w:r>
        <w:rPr>
          <w:rtl w:val="true"/>
        </w:rPr>
        <w:t xml:space="preserve">" </w:t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...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והתנהגותם</w:t>
      </w:r>
      <w:r>
        <w:rPr>
          <w:rtl w:val="true"/>
        </w:rPr>
        <w:t xml:space="preserve">,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בכוחן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טענות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הנשענות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תרבות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להפחית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האשמה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המוסרית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מבצע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שתוצאתה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קיפוח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חיי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אדם</w:t>
      </w:r>
      <w:r>
        <w:rPr>
          <w:rStyle w:val="default"/>
          <w:sz w:val="24"/>
          <w:rtl w:val="true"/>
        </w:rPr>
        <w:t xml:space="preserve">...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תכתיב</w:t>
      </w:r>
      <w:r>
        <w:rPr>
          <w:rFonts w:cs="Times New Roman"/>
          <w:rtl w:val="true"/>
        </w:rPr>
        <w:t xml:space="preserve"> </w:t>
      </w:r>
      <w:r>
        <w:rPr>
          <w:sz w:val="24"/>
          <w:sz w:val="24"/>
          <w:rtl w:val="true"/>
        </w:rPr>
        <w:t>תרבותי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שגוי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בחובתנו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והמוסרית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להוקיע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היסוד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התופעה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הבזויה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רצח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חילול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המשפחה</w:t>
      </w:r>
      <w:r>
        <w:rPr>
          <w:sz w:val="24"/>
          <w:rtl w:val="true"/>
        </w:rPr>
        <w:t>"</w:t>
      </w:r>
      <w:r>
        <w:rPr>
          <w:b/>
          <w:bCs w:val="false"/>
          <w:sz w:val="24"/>
          <w:rtl w:val="true"/>
        </w:rPr>
        <w:t xml:space="preserve">. </w:t>
      </w:r>
      <w:hyperlink r:id="rId10">
        <w:r>
          <w:rPr>
            <w:rStyle w:val="Hyperlink"/>
            <w:b/>
            <w:b/>
            <w:bCs w:val="false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b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b/>
            <w:b/>
            <w:bCs w:val="false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 w:val="false"/>
            <w:color w:val="0000FF"/>
            <w:sz w:val="24"/>
            <w:sz w:val="24"/>
            <w:u w:val="single"/>
            <w:rtl w:val="true"/>
          </w:rPr>
          <w:t xml:space="preserve">  </w:t>
        </w:r>
        <w:r>
          <w:rPr>
            <w:rStyle w:val="Hyperlink"/>
            <w:b/>
            <w:bCs w:val="false"/>
            <w:color w:val="0000FF"/>
            <w:sz w:val="24"/>
            <w:u w:val="single"/>
          </w:rPr>
          <w:t>1421/10</w:t>
        </w:r>
      </w:hyperlink>
      <w:r>
        <w:rPr>
          <w:b/>
          <w:bCs w:val="false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</w:t>
      </w:r>
      <w:r>
        <w:rPr>
          <w:sz w:val="24"/>
          <w:rtl w:val="true"/>
        </w:rPr>
        <w:t xml:space="preserve">' </w:t>
      </w:r>
      <w:r>
        <w:rPr>
          <w:sz w:val="24"/>
        </w:rPr>
        <w:t>25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לפסה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b/>
          <w:b/>
          <w:bCs w:val="false"/>
          <w:sz w:val="24"/>
          <w:sz w:val="24"/>
          <w:rtl w:val="true"/>
        </w:rPr>
        <w:t xml:space="preserve"> </w:t>
      </w:r>
      <w:r>
        <w:rPr>
          <w:b/>
          <w:b/>
          <w:bCs w:val="false"/>
          <w:sz w:val="24"/>
          <w:sz w:val="24"/>
          <w:rtl w:val="true"/>
        </w:rPr>
        <w:t>מיום</w:t>
      </w:r>
      <w:r>
        <w:rPr>
          <w:rFonts w:cs="Times New Roman"/>
          <w:b/>
          <w:b/>
          <w:bCs w:val="false"/>
          <w:sz w:val="24"/>
          <w:sz w:val="24"/>
          <w:rtl w:val="true"/>
        </w:rPr>
        <w:t xml:space="preserve"> </w:t>
      </w:r>
      <w:r>
        <w:rPr>
          <w:b/>
          <w:bCs w:val="false"/>
          <w:sz w:val="24"/>
        </w:rPr>
        <w:t>18/07/12</w:t>
      </w:r>
      <w:r>
        <w:rPr>
          <w:b/>
          <w:bCs w:val="false"/>
          <w:sz w:val="24"/>
          <w:rtl w:val="true"/>
        </w:rPr>
        <w:t xml:space="preserve"> , </w:t>
      </w:r>
      <w:r>
        <w:rPr>
          <w:b/>
          <w:b/>
          <w:bCs w:val="false"/>
          <w:sz w:val="24"/>
          <w:sz w:val="24"/>
          <w:rtl w:val="true"/>
        </w:rPr>
        <w:t>פורסם</w:t>
      </w:r>
      <w:r>
        <w:rPr>
          <w:rFonts w:cs="Times New Roman"/>
          <w:b/>
          <w:b/>
          <w:bCs w:val="false"/>
          <w:sz w:val="24"/>
          <w:sz w:val="24"/>
          <w:rtl w:val="true"/>
        </w:rPr>
        <w:t xml:space="preserve"> </w:t>
      </w:r>
      <w:r>
        <w:rPr>
          <w:b/>
          <w:b/>
          <w:bCs w:val="false"/>
          <w:sz w:val="24"/>
          <w:sz w:val="24"/>
          <w:rtl w:val="true"/>
        </w:rPr>
        <w:t>בנבו</w:t>
      </w:r>
      <w:r>
        <w:rPr>
          <w:b/>
          <w:bCs w:val="false"/>
          <w:sz w:val="24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Style w:val="default"/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default"/>
        </w:rPr>
      </w:pPr>
      <w:r>
        <w:rPr>
          <w:rStyle w:val="default"/>
          <w:rtl w:val="true"/>
        </w:rPr>
        <w:t>טענת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ההגנה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התרבותית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נבחנה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גם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בכל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הנוגע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למשקלו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הסכם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סולחה</w:t>
      </w:r>
      <w:r>
        <w:rPr>
          <w:rStyle w:val="default"/>
          <w:rtl w:val="true"/>
        </w:rPr>
        <w:t xml:space="preserve">" </w:t>
      </w:r>
      <w:r>
        <w:rPr>
          <w:rStyle w:val="default"/>
          <w:rtl w:val="true"/>
        </w:rPr>
        <w:t>שנערך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ניצים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במסגרת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שקולי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הענישה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בהקשר</w:t>
      </w:r>
      <w:r>
        <w:rPr>
          <w:rStyle w:val="default"/>
          <w:rFonts w:cs="Times New Roman"/>
          <w:rtl w:val="true"/>
        </w:rPr>
        <w:t xml:space="preserve">  </w:t>
      </w:r>
      <w:r>
        <w:rPr>
          <w:rStyle w:val="default"/>
          <w:rtl w:val="true"/>
        </w:rPr>
        <w:t>זה</w:t>
      </w:r>
      <w:r>
        <w:rPr>
          <w:rStyle w:val="default"/>
          <w:rFonts w:cs="Times New Roman"/>
          <w:rtl w:val="true"/>
        </w:rPr>
        <w:t xml:space="preserve">  </w:t>
      </w:r>
      <w:r>
        <w:rPr>
          <w:rStyle w:val="default"/>
          <w:rtl w:val="true"/>
        </w:rPr>
        <w:t>נטו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ביהמ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להתחשב</w:t>
      </w:r>
      <w:r>
        <w:rPr>
          <w:rStyle w:val="default"/>
          <w:rFonts w:cs="Times New Roman"/>
          <w:rtl w:val="true"/>
        </w:rPr>
        <w:t xml:space="preserve">  </w:t>
      </w:r>
      <w:r>
        <w:rPr>
          <w:rStyle w:val="default"/>
          <w:rtl w:val="true"/>
        </w:rPr>
        <w:t>בהסכם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הסולחה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כשקול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במסגרת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מכלול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שקולי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הענישה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כי</w:t>
      </w:r>
      <w:r>
        <w:rPr>
          <w:rStyle w:val="default"/>
          <w:rFonts w:cs="Times New Roman"/>
          <w:rtl w:val="true"/>
        </w:rPr>
        <w:t xml:space="preserve">  </w:t>
      </w:r>
      <w:r>
        <w:rPr>
          <w:rStyle w:val="default"/>
          <w:rtl w:val="true"/>
        </w:rPr>
        <w:t>המשקל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שיוחס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בדרך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כלל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היה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משני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ראה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למשל</w:t>
      </w:r>
      <w:r>
        <w:rPr>
          <w:rStyle w:val="default"/>
          <w:rtl w:val="true"/>
        </w:rPr>
        <w:t>: (</w:t>
      </w:r>
      <w:hyperlink r:id="rId11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</w:rPr>
          <w:t>548/88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מוחמד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עלי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גורבאן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tl w:val="true"/>
        </w:rPr>
        <w:t xml:space="preserve">,  </w:t>
      </w:r>
      <w:r>
        <w:rPr>
          <w:rStyle w:val="default"/>
          <w:rtl w:val="true"/>
        </w:rPr>
        <w:t>מיום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26/02/89</w:t>
      </w:r>
      <w:r>
        <w:rPr>
          <w:rStyle w:val="default"/>
          <w:rtl w:val="true"/>
        </w:rPr>
        <w:t xml:space="preserve">; </w:t>
      </w:r>
      <w:hyperlink r:id="rId12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</w:rPr>
          <w:t>9936/02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נביל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זבידאת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מיום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31/12/03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פורסמו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בנבו</w:t>
      </w:r>
      <w:r>
        <w:rPr>
          <w:rStyle w:val="default"/>
          <w:rtl w:val="true"/>
        </w:rPr>
        <w:t>) .</w:t>
      </w:r>
    </w:p>
    <w:p>
      <w:pPr>
        <w:pStyle w:val="Normal"/>
        <w:spacing w:lineRule="auto" w:line="360"/>
        <w:ind w:end="0"/>
        <w:jc w:val="both"/>
        <w:rPr>
          <w:rStyle w:val="default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textAlignment w:val="top"/>
        <w:rPr>
          <w:rFonts w:ascii="Calibri" w:hAnsi="Calibri" w:cs="Calibri"/>
        </w:rPr>
      </w:pPr>
      <w:r>
        <w:rPr>
          <w:rStyle w:val="default"/>
          <w:rtl w:val="true"/>
        </w:rPr>
        <w:t>בניגוד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לכך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בכל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הנוגע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לעבירת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הביגמיה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שהינה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תופעה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נפוצה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בקרב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העדה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המוסלמית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והבדואית</w:t>
      </w:r>
      <w:r>
        <w:rPr>
          <w:rStyle w:val="default"/>
          <w:rtl w:val="true"/>
        </w:rPr>
        <w:t xml:space="preserve">) </w:t>
      </w:r>
      <w:r>
        <w:rPr>
          <w:rStyle w:val="default"/>
          <w:rtl w:val="true"/>
        </w:rPr>
        <w:t>נקבע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הטענה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לפיה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המדובר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לפי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הדין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הדתי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עדות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אלו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שאינה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מהווה</w:t>
      </w:r>
      <w:r>
        <w:rPr>
          <w:rStyle w:val="default"/>
          <w:rFonts w:cs="Times New Roman"/>
          <w:rtl w:val="true"/>
        </w:rPr>
        <w:t xml:space="preserve"> </w:t>
      </w:r>
      <w:r>
        <w:rPr>
          <w:rtl w:val="true"/>
        </w:rPr>
        <w:t>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tl w:val="true"/>
        </w:rPr>
        <w:t xml:space="preserve">. 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185/82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אחמד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עטייה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גודה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</w:r>
      <w:r>
        <w:rPr/>
        <w:t>85</w:t>
      </w:r>
      <w:r>
        <w:rPr>
          <w:rtl w:val="true"/>
        </w:rPr>
        <w:t xml:space="preserve">, </w:t>
      </w:r>
      <w:r>
        <w:rPr/>
        <w:t>89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4085/91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17/10/91</w:t>
      </w:r>
      <w:r>
        <w:rPr>
          <w:rtl w:val="true"/>
        </w:rPr>
        <w:t xml:space="preserve">, 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לעקרו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מהשורש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תרבותית</w:t>
      </w:r>
      <w:r>
        <w:rPr>
          <w:rtl w:val="true"/>
        </w:rPr>
        <w:t xml:space="preserve">"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מספקות</w:t>
      </w:r>
      <w:r>
        <w:rPr>
          <w:rtl w:val="true"/>
        </w:rPr>
        <w:t xml:space="preserve">.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tl w:val="true"/>
        </w:rPr>
        <w:t xml:space="preserve">,  </w:t>
      </w:r>
      <w:r>
        <w:rPr>
          <w:rtl w:val="true"/>
        </w:rPr>
        <w:t>המחייבות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מסורתיות</w:t>
      </w:r>
      <w:r>
        <w:rPr>
          <w:rtl w:val="true"/>
        </w:rPr>
        <w:t xml:space="preserve">.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ונתפסות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כפסולות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הביגמיה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מיסודותיו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התרבותית</w:t>
      </w:r>
      <w:r>
        <w:rPr>
          <w:rtl w:val="true"/>
        </w:rPr>
        <w:t xml:space="preserve">"  </w:t>
      </w:r>
      <w:r>
        <w:rPr>
          <w:rtl w:val="true"/>
        </w:rPr>
        <w:t>כטיעון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Style w:val="default"/>
          <w:rFonts w:ascii="Corbel" w:hAnsi="Corbel" w:cs="Corbel"/>
        </w:rPr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צורכה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התרבותי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דוקטורינות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מוכרות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וקיימות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</w:t>
      </w:r>
      <w:r>
        <w:rPr>
          <w:rtl w:val="true"/>
        </w:rPr>
        <w:t xml:space="preserve">'.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התרבותי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-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מוחלטת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 </w:t>
      </w:r>
      <w:hyperlink r:id="rId15">
        <w:r>
          <w:rPr>
            <w:rStyle w:val="Hyperlink"/>
            <w:rFonts w:cs="Times New Roman" w:ascii="Corbel" w:hAnsi="Corbe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Corbel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Corbel" w:hAnsi="Corbe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 w:ascii="Corbel" w:hAnsi="Corbe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Corbel"/>
            <w:color w:val="0000FF"/>
            <w:sz w:val="26"/>
            <w:sz w:val="26"/>
            <w:szCs w:val="26"/>
            <w:u w:val="single"/>
          </w:rPr>
          <w:t>3543/00</w:t>
        </w:r>
      </w:hyperlink>
      <w:r>
        <w:rPr>
          <w:rStyle w:val="default"/>
          <w:rFonts w:cs="Corbel" w:ascii="Corbel" w:hAnsi="Corbel"/>
          <w:rtl w:val="true"/>
        </w:rPr>
        <w:t xml:space="preserve"> </w:t>
      </w:r>
      <w:r>
        <w:rPr>
          <w:rStyle w:val="default"/>
          <w:rFonts w:ascii="Corbel" w:hAnsi="Corbel" w:cs="Corbel"/>
          <w:b/>
          <w:b/>
          <w:bCs/>
          <w:rtl w:val="true"/>
        </w:rPr>
        <w:t>ענף תביעות מחוז שומרון ויהודה נ</w:t>
      </w:r>
      <w:r>
        <w:rPr>
          <w:rStyle w:val="default"/>
          <w:rFonts w:cs="Corbel" w:ascii="Corbel" w:hAnsi="Corbel"/>
          <w:b/>
          <w:bCs/>
          <w:rtl w:val="true"/>
        </w:rPr>
        <w:t xml:space="preserve">' </w:t>
      </w:r>
      <w:r>
        <w:rPr>
          <w:rStyle w:val="default"/>
          <w:rFonts w:ascii="Corbel" w:hAnsi="Corbel" w:cs="Corbel"/>
          <w:b/>
          <w:b/>
          <w:bCs/>
          <w:rtl w:val="true"/>
        </w:rPr>
        <w:t>מנשה ארי</w:t>
      </w:r>
      <w:r>
        <w:rPr>
          <w:rStyle w:val="default"/>
          <w:rFonts w:ascii="Corbel" w:hAnsi="Corbel" w:cs="Corbel"/>
          <w:rtl w:val="true"/>
        </w:rPr>
        <w:t>אל</w:t>
      </w:r>
      <w:r>
        <w:rPr>
          <w:rStyle w:val="default"/>
          <w:rFonts w:cs="Corbel" w:ascii="Corbel" w:hAnsi="Corbel"/>
          <w:rtl w:val="true"/>
        </w:rPr>
        <w:t xml:space="preserve">, </w:t>
      </w:r>
      <w:r>
        <w:rPr>
          <w:rStyle w:val="default"/>
          <w:rFonts w:ascii="Corbel" w:hAnsi="Corbel" w:cs="Corbel"/>
          <w:rtl w:val="true"/>
        </w:rPr>
        <w:t xml:space="preserve">מיום </w:t>
      </w:r>
      <w:r>
        <w:rPr>
          <w:rStyle w:val="default"/>
          <w:rFonts w:cs="Corbel" w:ascii="Corbel" w:hAnsi="Corbel"/>
        </w:rPr>
        <w:t>18/04/02</w:t>
      </w:r>
      <w:r>
        <w:rPr>
          <w:rStyle w:val="default"/>
          <w:rFonts w:cs="Corbel" w:ascii="Corbel" w:hAnsi="Corbel"/>
          <w:rtl w:val="true"/>
        </w:rPr>
        <w:t xml:space="preserve">, </w:t>
      </w:r>
      <w:r>
        <w:rPr>
          <w:rStyle w:val="default"/>
          <w:rFonts w:ascii="Corbel" w:hAnsi="Corbel" w:cs="Corbel"/>
          <w:rtl w:val="true"/>
        </w:rPr>
        <w:t>פורסם בנבו</w:t>
      </w:r>
      <w:r>
        <w:rPr>
          <w:rStyle w:val="default"/>
          <w:rFonts w:cs="Corbel" w:ascii="Corbel" w:hAnsi="Corbel"/>
          <w:rtl w:val="true"/>
        </w:rPr>
        <w:t xml:space="preserve">, </w:t>
      </w:r>
      <w:r>
        <w:rPr>
          <w:rStyle w:val="default"/>
          <w:rFonts w:ascii="Corbel" w:hAnsi="Corbel" w:cs="Corbel"/>
          <w:rtl w:val="true"/>
        </w:rPr>
        <w:t>שם דובר בנאשם</w:t>
      </w:r>
      <w:r>
        <w:rPr>
          <w:rStyle w:val="default"/>
          <w:rFonts w:cs="Corbel" w:ascii="Corbel" w:hAnsi="Corbel"/>
          <w:rtl w:val="true"/>
        </w:rPr>
        <w:t xml:space="preserve">, </w:t>
      </w:r>
      <w:r>
        <w:rPr>
          <w:rStyle w:val="default"/>
          <w:rFonts w:ascii="Corbel" w:hAnsi="Corbel" w:cs="Corbel"/>
          <w:rtl w:val="true"/>
        </w:rPr>
        <w:t>בן למשפחה ממוצא הינדי</w:t>
      </w:r>
      <w:r>
        <w:rPr>
          <w:rStyle w:val="default"/>
          <w:rFonts w:cs="Corbel" w:ascii="Corbel" w:hAnsi="Corbel"/>
          <w:rtl w:val="true"/>
        </w:rPr>
        <w:t xml:space="preserve">, </w:t>
      </w:r>
      <w:r>
        <w:rPr>
          <w:rStyle w:val="default"/>
          <w:rFonts w:ascii="Corbel" w:hAnsi="Corbel" w:cs="Corbel"/>
          <w:rtl w:val="true"/>
        </w:rPr>
        <w:t>אשר הורשע בעבירות של תקיפת בן זוג ואיומים</w:t>
      </w:r>
      <w:r>
        <w:rPr>
          <w:rStyle w:val="default"/>
          <w:rFonts w:cs="Corbel" w:ascii="Corbel" w:hAnsi="Corbel"/>
          <w:rtl w:val="true"/>
        </w:rPr>
        <w:t xml:space="preserve">. </w:t>
      </w:r>
      <w:r>
        <w:rPr>
          <w:rStyle w:val="default"/>
          <w:rFonts w:ascii="Corbel" w:hAnsi="Corbel" w:cs="Corbel"/>
          <w:rtl w:val="true"/>
        </w:rPr>
        <w:t>התביעה ביקשה להטיל עליו עונש מאסר בפועל ואילו הנאשם ביקש להקל בעונשו</w:t>
      </w:r>
      <w:r>
        <w:rPr>
          <w:rStyle w:val="default"/>
          <w:rFonts w:cs="Corbel" w:ascii="Corbel" w:hAnsi="Corbel"/>
          <w:rtl w:val="true"/>
        </w:rPr>
        <w:t xml:space="preserve">, </w:t>
      </w:r>
      <w:r>
        <w:rPr>
          <w:rStyle w:val="default"/>
          <w:rFonts w:ascii="Corbel" w:hAnsi="Corbel" w:cs="Corbel"/>
          <w:rtl w:val="true"/>
        </w:rPr>
        <w:t>מן הטעם שהתנהגותו תאמה את הנורמות שהיו מקובלות במקום מוצאו</w:t>
      </w:r>
      <w:r>
        <w:rPr>
          <w:rStyle w:val="default"/>
          <w:rFonts w:cs="Corbel" w:ascii="Corbel" w:hAnsi="Corbel"/>
          <w:rtl w:val="true"/>
        </w:rPr>
        <w:t xml:space="preserve">. </w:t>
      </w:r>
      <w:r>
        <w:rPr>
          <w:rStyle w:val="default"/>
          <w:rFonts w:ascii="Corbel" w:hAnsi="Corbel" w:cs="Corbel"/>
          <w:rtl w:val="true"/>
        </w:rPr>
        <w:t>בימ</w:t>
      </w:r>
      <w:r>
        <w:rPr>
          <w:rStyle w:val="default"/>
          <w:rFonts w:cs="Corbel" w:ascii="Corbel" w:hAnsi="Corbel"/>
          <w:rtl w:val="true"/>
        </w:rPr>
        <w:t>"</w:t>
      </w:r>
      <w:r>
        <w:rPr>
          <w:rStyle w:val="default"/>
          <w:rFonts w:ascii="Corbel" w:hAnsi="Corbel" w:cs="Corbel"/>
          <w:rtl w:val="true"/>
        </w:rPr>
        <w:t xml:space="preserve">ש השלום בירושלים התייחס לטיעון התרבותי וראה בו שקול להקלה בעונשו של הנאשם ולהטלת עונש של מאסר בעבודות שירות במקום מאסר בפועל </w:t>
      </w:r>
      <w:r>
        <w:rPr>
          <w:rStyle w:val="default"/>
          <w:rFonts w:cs="Corbel" w:ascii="Corbel" w:hAnsi="Corbe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Style w:val="default"/>
          <w:rFonts w:ascii="Corbel" w:hAnsi="Corbel" w:cs="Corbel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גם 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דומני כי אי אפשר לנתק את  נסיבות ביצוע העבירה מההקשר התרבותי העומד ברקע ביצועה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ומכך שהסכמתה של הנאשמת להחבאת הנשק בביתה נבעה מנחיתות מעמדה כאישה בחברה המוסלמית הפטריאכלית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בענין זה נראה כי יש ממש בדברי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אף אלמלא הסכמתה של הנאשמת להחבאת הנשק בביתה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היה בן דודה מטמין את הנשק בביתה 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המאשימה עצמה לא טוענת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הנאשמת החביאה בעצמה את הנשק בביתה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שכן בתיאור העובדות בכתב האישום לא נטען כי החביאה את הנשק אלא רק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החזיקה בביתה</w:t>
      </w:r>
      <w:r>
        <w:rPr>
          <w:rFonts w:cs="Arial" w:ascii="Arial" w:hAnsi="Arial"/>
          <w:rtl w:val="true"/>
        </w:rPr>
        <w:t xml:space="preserve">") , </w:t>
      </w:r>
      <w:r>
        <w:rPr>
          <w:rFonts w:ascii="Arial" w:hAnsi="Arial" w:cs="Arial"/>
          <w:rtl w:val="true"/>
        </w:rPr>
        <w:t>משמע כי הסכמתה של הנאשמת להטמנת הנשק בביתה לא היתה הסכמה אקטיבית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פאסיבית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 שמלמד על חלקה המינורי בביצוע העבירה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עובדה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שאין בה משום נימוק להפחתת אחריותה הפלילית של הנאשמת</w:t>
      </w:r>
      <w:r>
        <w:rPr>
          <w:rFonts w:cs="Arial" w:ascii="Arial" w:hAnsi="Arial"/>
          <w:rtl w:val="true"/>
        </w:rPr>
        <w:t xml:space="preserve">-  </w:t>
      </w:r>
      <w:r>
        <w:rPr>
          <w:rFonts w:ascii="Arial" w:hAnsi="Arial" w:cs="Arial"/>
          <w:rtl w:val="true"/>
        </w:rPr>
        <w:t>יש בה  כדי להוות  שקול לקולא לענין גובה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בניגוד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בידי לקבל טענת הסניגור בדבר חוסר תום לבה של המאשימה אשר ניצלה כביכול את שיתוף הפעולה של הנאשמת בחקירה לצורך הגשת כתב אישום נגד בן דודה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במקום  להביא לסגירת התיק נגד הנאשמת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שיתוף פעולה של נחקר בחקירה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במסגרתו מפליל הנחקר  מבצע  נוסף או עיקרי בעבירה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איננו בגדר  פתח מילוט אוטומטי מההליך הפלילי</w:t>
      </w:r>
      <w:r>
        <w:rPr>
          <w:rFonts w:cs="Arial" w:ascii="Arial" w:hAnsi="Arial"/>
          <w:rtl w:val="true"/>
        </w:rPr>
        <w:t xml:space="preserve">.   </w:t>
      </w:r>
      <w:r>
        <w:rPr>
          <w:rFonts w:ascii="Arial" w:hAnsi="Arial" w:cs="Arial"/>
          <w:rtl w:val="true"/>
        </w:rPr>
        <w:t xml:space="preserve">העובדה כי בן דודה של הנאשמת היה היוזם והמבצע העיקרי של  העבירה  והועמד לדין בזכות עדותה של הנאשמת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אין בכוחה לאיין חלקה של הנאשמת בעבירה ולפטור אותה כליל מאחריות פלילית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למתחם הענישה הנטען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המאשימה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עיון בפסיקה מעלה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בעבירות של החזקת נשק ישנה קשת רחבה של עונשים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שהינה ביטוי למעשה ליישום הענישה האינדיבידואלית הנוהגת בשיטתנו – יש והשיתו בתי המשפט עונש של  מאסר בפועל למשך מספר חודשים  </w:t>
      </w:r>
      <w:r>
        <w:rPr>
          <w:rFonts w:cs="Arial" w:ascii="Arial" w:hAnsi="Arial"/>
          <w:rtl w:val="true"/>
        </w:rPr>
        <w:t>(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2044/11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גנאדי בלוצרקובסקי</w:t>
      </w:r>
      <w:r>
        <w:rPr>
          <w:rFonts w:ascii="Arial" w:hAnsi="Arial" w:cs="Arial"/>
          <w:rtl w:val="true"/>
        </w:rPr>
        <w:t xml:space="preserve"> מיום  </w:t>
      </w:r>
      <w:r>
        <w:rPr>
          <w:rFonts w:cs="Arial" w:ascii="Arial" w:hAnsi="Arial"/>
        </w:rPr>
        <w:t>07/07/11</w:t>
      </w:r>
      <w:r>
        <w:rPr>
          <w:rFonts w:cs="Arial" w:ascii="Arial" w:hAnsi="Arial"/>
          <w:rtl w:val="true"/>
        </w:rPr>
        <w:t xml:space="preserve"> ;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49812-06-11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נדאל ואדי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מיום </w:t>
      </w:r>
      <w:r>
        <w:rPr>
          <w:rFonts w:cs="Arial" w:ascii="Arial" w:hAnsi="Arial"/>
        </w:rPr>
        <w:t>13/09/11</w:t>
      </w:r>
      <w:r>
        <w:rPr>
          <w:rFonts w:cs="Arial" w:ascii="Arial" w:hAnsi="Arial"/>
          <w:rtl w:val="true"/>
        </w:rPr>
        <w:t xml:space="preserve"> ; 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5604/11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ניידאל נאסר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ascii="Arial" w:hAnsi="Arial" w:cs="Arial"/>
          <w:rtl w:val="true"/>
        </w:rPr>
        <w:t xml:space="preserve">מיום  </w:t>
      </w:r>
      <w:r>
        <w:rPr>
          <w:rFonts w:cs="Arial" w:ascii="Arial" w:hAnsi="Arial"/>
        </w:rPr>
        <w:t>05/10/11</w:t>
      </w:r>
      <w:r>
        <w:rPr>
          <w:rFonts w:cs="Arial" w:ascii="Arial" w:hAnsi="Arial"/>
          <w:rtl w:val="true"/>
        </w:rPr>
        <w:t xml:space="preserve">),  </w:t>
      </w:r>
      <w:r>
        <w:rPr>
          <w:rFonts w:ascii="Arial" w:hAnsi="Arial" w:cs="Arial"/>
          <w:rtl w:val="true"/>
        </w:rPr>
        <w:t xml:space="preserve">ויש והשיתו עונש של  מאסר בעבודות שירות  </w:t>
      </w:r>
      <w:r>
        <w:rPr>
          <w:rFonts w:cs="Arial" w:ascii="Arial" w:hAnsi="Arial"/>
          <w:rtl w:val="true"/>
        </w:rPr>
        <w:t xml:space="preserve">(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5713/10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יהושע אקרמן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מיום </w:t>
      </w:r>
      <w:r>
        <w:rPr>
          <w:rFonts w:cs="Arial" w:ascii="Arial" w:hAnsi="Arial"/>
        </w:rPr>
        <w:t>01/03/11</w:t>
      </w:r>
      <w:r>
        <w:rPr>
          <w:rFonts w:cs="Arial" w:ascii="Arial" w:hAnsi="Arial"/>
          <w:rtl w:val="true"/>
        </w:rPr>
        <w:t xml:space="preserve"> ;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9349-05-09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שלום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מאלק עודה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14/0210</w:t>
      </w:r>
      <w:r>
        <w:rPr>
          <w:rFonts w:cs="Arial" w:ascii="Arial" w:hAnsi="Arial"/>
          <w:rtl w:val="true"/>
        </w:rPr>
        <w:t xml:space="preserve">,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9188-11-08</w:t>
        </w:r>
      </w:hyperlink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שלום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 xml:space="preserve">) 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לירון יוסף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12/01/10</w:t>
      </w:r>
      <w:r>
        <w:rPr>
          <w:rFonts w:cs="Arial" w:ascii="Arial" w:hAnsi="Arial"/>
          <w:rtl w:val="true"/>
        </w:rPr>
        <w:t xml:space="preserve">,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53505-08-10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מוניר אבו גבאר </w:t>
      </w:r>
      <w:r>
        <w:rPr>
          <w:rFonts w:ascii="Arial" w:hAnsi="Arial" w:cs="Arial"/>
          <w:rtl w:val="true"/>
        </w:rPr>
        <w:t xml:space="preserve"> מיום </w:t>
      </w:r>
      <w:r>
        <w:rPr>
          <w:rFonts w:cs="Arial" w:ascii="Arial" w:hAnsi="Arial"/>
        </w:rPr>
        <w:t>01/05/11</w:t>
      </w:r>
      <w:r>
        <w:rPr>
          <w:rFonts w:cs="Arial" w:ascii="Arial" w:hAnsi="Arial"/>
          <w:rtl w:val="true"/>
        </w:rPr>
        <w:t xml:space="preserve">).  </w:t>
      </w:r>
      <w:r>
        <w:rPr>
          <w:rFonts w:ascii="Arial" w:hAnsi="Arial" w:cs="Arial"/>
          <w:rtl w:val="true"/>
        </w:rPr>
        <w:t>ישנם  אף מקרים בהם נמנע 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מהרשעתו של הנאשם בדין 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ראה למשל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12013-04-11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 מ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מיכל זריהן</w:t>
      </w:r>
      <w:r>
        <w:rPr>
          <w:rFonts w:ascii="Arial" w:hAnsi="Arial" w:cs="Arial"/>
          <w:rtl w:val="true"/>
        </w:rPr>
        <w:t xml:space="preserve"> מיום </w:t>
      </w:r>
      <w:r>
        <w:rPr>
          <w:rFonts w:cs="Arial" w:ascii="Arial" w:hAnsi="Arial"/>
        </w:rPr>
        <w:t>02/07/13</w:t>
      </w:r>
      <w:r>
        <w:rPr>
          <w:rFonts w:cs="Arial" w:ascii="Arial" w:hAnsi="Arial"/>
          <w:rtl w:val="true"/>
        </w:rPr>
        <w:t xml:space="preserve"> ;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2924/06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סלים אלפיניש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06/01/08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סמך מכלול השקולים לקולא  אשר פורטו לעיל ובהתחשב במדיניות הענישה הנוהגת בעבירה זו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שוכנעתי  כי יש לתת משקל רב להמלצת שירות המבחן ולדון הנאשמת כדלקמן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David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rtl w:val="true"/>
        </w:rPr>
        <w:t xml:space="preserve">  </w:t>
      </w:r>
      <w:r>
        <w:rPr>
          <w:rFonts w:cs="David" w:ascii="Arial" w:hAnsi="Arial"/>
          <w:sz w:val="24"/>
          <w:szCs w:val="24"/>
        </w:rPr>
        <w:t>5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David"/>
          <w:sz w:val="24"/>
          <w:sz w:val="24"/>
          <w:szCs w:val="24"/>
          <w:rtl w:val="true"/>
        </w:rPr>
        <w:t>אותו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תרצה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אלא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תעבור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תוך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3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מהיום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בהן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הורשעה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קנס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בסך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1,000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תמורתו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הנאשמת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תהיה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רשאית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לשלם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הקנס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שיעורים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שווים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ורצופים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אחד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15.2.14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והשני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15.3.14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ישולם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השיעור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הראשון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במועדו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יעמוד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סכום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הקנס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לפרעון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מידי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צו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מבחן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לשנה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במסגרתו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תעמוד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הנאשמת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בכל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הליך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טיפולי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שייקבע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המבחן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 שולמית דותן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Corbel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24791-05-11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לביבה אחמד עבדאללה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eaderChar">
    <w:name w:val="Header Char"/>
    <w:qFormat/>
    <w:rPr>
      <w:rFonts w:cs="David"/>
      <w:sz w:val="24"/>
      <w:szCs w:val="24"/>
      <w:lang w:val="en-US" w:bidi="he-IL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FileNumber">
    <w:name w:val="File Number"/>
    <w:basedOn w:val="Normal"/>
    <w:qFormat/>
    <w:pPr>
      <w:overflowPunct w:val="false"/>
      <w:autoSpaceDE w:val="false"/>
      <w:spacing w:lineRule="auto" w:line="360"/>
      <w:jc w:val="end"/>
    </w:pPr>
    <w:rPr>
      <w:bCs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inks/psika/?link=&#1506;&#1508;%20910/85" TargetMode="External"/><Relationship Id="rId8" Type="http://schemas.openxmlformats.org/officeDocument/2006/relationships/hyperlink" Target="http://www.nevo.co.il/links/psika/?link=&#1506;&#1508;%2010828/03" TargetMode="External"/><Relationship Id="rId9" Type="http://schemas.openxmlformats.org/officeDocument/2006/relationships/hyperlink" Target="http://www.nevo.co.il/links/psika/?link=&#1514;&#1508;%201801/04" TargetMode="External"/><Relationship Id="rId10" Type="http://schemas.openxmlformats.org/officeDocument/2006/relationships/hyperlink" Target="http://www.nevo.co.il/links/psika/?link=&#1506;&#1508;%201421/10" TargetMode="External"/><Relationship Id="rId11" Type="http://schemas.openxmlformats.org/officeDocument/2006/relationships/hyperlink" Target="http://www.nevo.co.il/links/psika/?link=&#1506;&#1508;%20548/88" TargetMode="External"/><Relationship Id="rId12" Type="http://schemas.openxmlformats.org/officeDocument/2006/relationships/hyperlink" Target="http://www.nevo.co.il/links/psika/?link=&#1506;&#1508;%209936/02" TargetMode="External"/><Relationship Id="rId13" Type="http://schemas.openxmlformats.org/officeDocument/2006/relationships/hyperlink" Target="http://www.nevo.co.il/links/psika/?link=&#1506;&#1508;%20185/82&amp;Pvol=&#1500;&#1494;" TargetMode="External"/><Relationship Id="rId14" Type="http://schemas.openxmlformats.org/officeDocument/2006/relationships/hyperlink" Target="http://www.nevo.co.il/links/psika/?link=&#1506;&#1508;%204085/91" TargetMode="External"/><Relationship Id="rId15" Type="http://schemas.openxmlformats.org/officeDocument/2006/relationships/hyperlink" Target="http://www.nevo.co.il/links/psika/?link=&#1514;&#1508;%203543/00" TargetMode="External"/><Relationship Id="rId16" Type="http://schemas.openxmlformats.org/officeDocument/2006/relationships/hyperlink" Target="http://www.nevo.co.il/links/psika/?link=&#1506;&#1508;%202044/11" TargetMode="External"/><Relationship Id="rId17" Type="http://schemas.openxmlformats.org/officeDocument/2006/relationships/hyperlink" Target="http://www.nevo.co.il/links/psika/?NEWPROC=&#1506;&#1508;&#1490;&amp;NEWPARTA=49812&amp;NEWPARTB=06&amp;NEWPARTC=11" TargetMode="External"/><Relationship Id="rId18" Type="http://schemas.openxmlformats.org/officeDocument/2006/relationships/hyperlink" Target="http://www.nevo.co.il/links/psika/?link=&#1506;&#1508;%205604/11" TargetMode="External"/><Relationship Id="rId19" Type="http://schemas.openxmlformats.org/officeDocument/2006/relationships/hyperlink" Target="http://www.nevo.co.il/links/psika/?link=&#1506;&#1508;%205713/10" TargetMode="External"/><Relationship Id="rId20" Type="http://schemas.openxmlformats.org/officeDocument/2006/relationships/hyperlink" Target="http://www.nevo.co.il/links/psika/?NEWPROC=&#1514;&#1508;&amp;NEWPARTA=9349&amp;NEWPARTB=05&amp;NEWPARTC=09" TargetMode="External"/><Relationship Id="rId21" Type="http://schemas.openxmlformats.org/officeDocument/2006/relationships/hyperlink" Target="http://www.nevo.co.il/links/psika/?NEWPROC=&#1514;&#1508;&amp;NEWPARTA=9188&amp;NEWPARTB=11&amp;NEWPARTC=08" TargetMode="External"/><Relationship Id="rId22" Type="http://schemas.openxmlformats.org/officeDocument/2006/relationships/hyperlink" Target="http://www.nevo.co.il/links/psika/?NEWPROC=&#1514;&#1508;&amp;NEWPARTA=53505&amp;NEWPARTB=08&amp;NEWPARTC=10" TargetMode="External"/><Relationship Id="rId23" Type="http://schemas.openxmlformats.org/officeDocument/2006/relationships/hyperlink" Target="http://www.nevo.co.il/links/psika/?NEWPROC=&#1514;&#1508;&amp;NEWPARTA=12013&amp;NEWPARTB=04&amp;NEWPARTC=11" TargetMode="External"/><Relationship Id="rId24" Type="http://schemas.openxmlformats.org/officeDocument/2006/relationships/hyperlink" Target="http://www.nevo.co.il/links/psika/?link=&#1514;&#1508;%202924/06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2014-02-05T13:15:00Z</dcterms:created>
  <dc:creator> </dc:creator>
  <dc:description/>
  <cp:keywords/>
  <dc:language>en-IL</dc:language>
  <cp:lastModifiedBy>hofit</cp:lastModifiedBy>
  <dcterms:modified xsi:type="dcterms:W3CDTF">2014-02-05T13:15:00Z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לביבה אחמד עבדאללה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20140121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 שולמית דותן</vt:lpwstr>
  </property>
  <property fmtid="{D5CDD505-2E9C-101B-9397-08002B2CF9AE}" pid="13" name="LAWLISTTMP1">
    <vt:lpwstr>70301/144.a</vt:lpwstr>
  </property>
  <property fmtid="{D5CDD505-2E9C-101B-9397-08002B2CF9AE}" pid="14" name="LAWYER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24791</vt:lpwstr>
  </property>
  <property fmtid="{D5CDD505-2E9C-101B-9397-08002B2CF9AE}" pid="21" name="NEWPARTB">
    <vt:lpwstr>05</vt:lpwstr>
  </property>
  <property fmtid="{D5CDD505-2E9C-101B-9397-08002B2CF9AE}" pid="22" name="NEWPARTC">
    <vt:lpwstr>11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TYPE_ABS_DATE">
    <vt:lpwstr>380020140121</vt:lpwstr>
  </property>
  <property fmtid="{D5CDD505-2E9C-101B-9397-08002B2CF9AE}" pid="33" name="TYPE_N_DATE">
    <vt:lpwstr>38020140121</vt:lpwstr>
  </property>
  <property fmtid="{D5CDD505-2E9C-101B-9397-08002B2CF9AE}" pid="34" name="VOLUME">
    <vt:lpwstr/>
  </property>
  <property fmtid="{D5CDD505-2E9C-101B-9397-08002B2CF9AE}" pid="35" name="WORDNUMPAGES">
    <vt:lpwstr>7</vt:lpwstr>
  </property>
</Properties>
</file>