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2480-09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אעסם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3"/>
        <w:gridCol w:w="2699"/>
        <w:gridCol w:w="2699"/>
        <w:gridCol w:w="2699"/>
      </w:tblGrid>
      <w:tr>
        <w:trPr>
          <w:trHeight w:val="337" w:hRule="atLeast"/>
        </w:trPr>
        <w:tc>
          <w:tcPr>
            <w:tcW w:w="623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9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6232/09</w:t>
            </w:r>
          </w:p>
        </w:tc>
        <w:tc>
          <w:tcPr>
            <w:tcW w:w="269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9074/09</w:t>
            </w:r>
          </w:p>
        </w:tc>
        <w:tc>
          <w:tcPr>
            <w:tcW w:w="269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2921/09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 אמוראי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רחלי חג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עאנד אעסם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שאול דיוויס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/>
      </w:pPr>
      <w:bookmarkStart w:id="8" w:name="PsakDin"/>
      <w:bookmarkStart w:id="9" w:name="ABSTRACT_START"/>
      <w:bookmarkEnd w:id="8"/>
      <w:bookmarkEnd w:id="9"/>
      <w:r>
        <w:rPr>
          <w:rtl w:val="true"/>
        </w:rPr>
        <w:t xml:space="preserve">הנאשם בגיל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 קטינים</w:t>
      </w:r>
      <w:r>
        <w:rPr>
          <w:rtl w:val="true"/>
        </w:rPr>
        <w:t xml:space="preserve">, </w:t>
      </w:r>
      <w:r>
        <w:rPr>
          <w:rtl w:val="true"/>
        </w:rPr>
        <w:t>בעל רישום פלילי בעבירות רכוש</w:t>
      </w:r>
      <w:r>
        <w:rPr>
          <w:rtl w:val="true"/>
        </w:rPr>
        <w:t xml:space="preserve">, </w:t>
      </w:r>
      <w:r>
        <w:rPr>
          <w:rtl w:val="true"/>
        </w:rPr>
        <w:t>הועמד לדין בגין ביצוע עבירות בקשר בנשק</w:t>
      </w:r>
      <w:bookmarkStart w:id="10" w:name="ABSTRACT_END"/>
      <w:bookmarkEnd w:id="10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 שלא כלל הסכמה לעונש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</w:t>
      </w:r>
      <w:r>
        <w:rPr>
          <w:b/>
          <w:b/>
          <w:bCs/>
          <w:rtl w:val="true"/>
        </w:rPr>
        <w:t>בשתי עבירות בנשק</w:t>
      </w:r>
      <w:r>
        <w:rPr>
          <w:rtl w:val="true"/>
        </w:rPr>
        <w:t xml:space="preserve"> </w:t>
      </w:r>
      <w:r>
        <w:rPr>
          <w:rtl w:val="true"/>
        </w:rPr>
        <w:t xml:space="preserve">{ 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}, </w:t>
      </w:r>
      <w:r>
        <w:rPr>
          <w:rtl w:val="true"/>
        </w:rPr>
        <w:t xml:space="preserve">בכך שבתאריך </w:t>
      </w:r>
      <w:r>
        <w:rPr/>
        <w:t>1/07/09</w:t>
      </w:r>
      <w:r>
        <w:rPr>
          <w:rtl w:val="true"/>
        </w:rPr>
        <w:t xml:space="preserve"> </w:t>
      </w:r>
      <w:r>
        <w:rPr>
          <w:rtl w:val="true"/>
        </w:rPr>
        <w:t xml:space="preserve">בביתו </w:t>
      </w:r>
      <w:r>
        <w:rPr>
          <w:rtl w:val="true"/>
        </w:rPr>
        <w:t xml:space="preserve">, </w:t>
      </w:r>
      <w:r>
        <w:rPr>
          <w:rtl w:val="true"/>
        </w:rPr>
        <w:t>מתחת לכרית עליה ישן</w:t>
      </w:r>
      <w:r>
        <w:rPr>
          <w:rtl w:val="true"/>
        </w:rPr>
        <w:t xml:space="preserve">, </w:t>
      </w:r>
      <w:r>
        <w:rPr>
          <w:rtl w:val="true"/>
        </w:rPr>
        <w:t xml:space="preserve">החזיק אקדח מסוג ברטה טעון במחסנית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קליעים בלא רשות על פי דין להחזיקם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lang w:eastAsia="he-IL"/>
        </w:rPr>
      </w:pPr>
      <w:r>
        <w:rPr>
          <w:rtl w:val="true"/>
        </w:rPr>
        <w:t>הסדר הטיעון כלל תיקון כתב האישום</w:t>
      </w:r>
      <w:r>
        <w:rPr>
          <w:rtl w:val="true"/>
        </w:rPr>
        <w:t xml:space="preserve">, </w:t>
      </w:r>
      <w:r>
        <w:rPr>
          <w:rtl w:val="true"/>
        </w:rPr>
        <w:t>הודאת הנאשם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הקלה בתנאי מעצרו ושליחתו לתסקיר בטרם הטיעונים לעונש</w:t>
      </w:r>
      <w:r>
        <w:rPr>
          <w:rtl w:val="true"/>
        </w:rPr>
        <w:t xml:space="preserve">, </w:t>
      </w:r>
      <w:r>
        <w:rPr>
          <w:rtl w:val="true"/>
        </w:rPr>
        <w:t>כשעמדת המאשימה למאסר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שירות המבחן</w:t>
      </w:r>
      <w:r>
        <w:rPr>
          <w:rtl w:val="true"/>
        </w:rPr>
        <w:t xml:space="preserve"> המליץ על הטלת צו מבחן למשך שנה בצירוף צו שירות בהיקף של </w:t>
      </w:r>
      <w:r>
        <w:rPr/>
        <w:t>260</w:t>
      </w:r>
      <w:r>
        <w:rPr>
          <w:rtl w:val="true"/>
        </w:rPr>
        <w:t xml:space="preserve"> </w:t>
      </w:r>
      <w:r>
        <w:rPr>
          <w:rtl w:val="true"/>
        </w:rPr>
        <w:t>שעות וכן מאסר על תנאי מרתיע</w:t>
      </w:r>
      <w:r>
        <w:rPr>
          <w:rtl w:val="true"/>
        </w:rPr>
        <w:t xml:space="preserve">. </w:t>
      </w:r>
      <w:r>
        <w:rPr>
          <w:rtl w:val="true"/>
        </w:rPr>
        <w:t>בתסקיר פירוט נרחב אודות הסטורית חייו של הנאשם</w:t>
      </w:r>
      <w:r>
        <w:rPr>
          <w:rtl w:val="true"/>
        </w:rPr>
        <w:t xml:space="preserve">, </w:t>
      </w:r>
      <w:r>
        <w:rPr>
          <w:rtl w:val="true"/>
        </w:rPr>
        <w:t>נסיבותיו האישיות</w:t>
      </w:r>
      <w:r>
        <w:rPr>
          <w:rtl w:val="true"/>
        </w:rPr>
        <w:t xml:space="preserve">,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והתעסוקתית</w:t>
      </w:r>
      <w:r>
        <w:rPr>
          <w:rtl w:val="true"/>
        </w:rPr>
        <w:t xml:space="preserve">. </w:t>
      </w:r>
      <w:r>
        <w:rPr>
          <w:rtl w:val="true"/>
        </w:rPr>
        <w:t xml:space="preserve">כן פירוט אודות המשבר שחווה בעת פטירת בנו הבכור </w:t>
      </w:r>
      <w:r>
        <w:rPr>
          <w:rtl w:val="true"/>
        </w:rPr>
        <w:t>{</w:t>
      </w:r>
      <w:r>
        <w:rPr>
          <w:rtl w:val="true"/>
        </w:rPr>
        <w:t>לפני שמונה שנים</w:t>
      </w:r>
      <w:r>
        <w:rPr>
          <w:rtl w:val="true"/>
        </w:rPr>
        <w:t xml:space="preserve">} </w:t>
      </w:r>
      <w:r>
        <w:rPr>
          <w:rtl w:val="true"/>
        </w:rPr>
        <w:t>והשינוי שחל בדפוסיו לאחר מות בנו</w:t>
      </w:r>
      <w:r>
        <w:rPr>
          <w:rtl w:val="true"/>
        </w:rPr>
        <w:t xml:space="preserve">. </w:t>
      </w:r>
      <w:r>
        <w:rPr>
          <w:rtl w:val="true"/>
        </w:rPr>
        <w:t>הנאשם שיתף פעולה עם שירות המבחן</w:t>
      </w:r>
      <w:r>
        <w:rPr>
          <w:rtl w:val="true"/>
        </w:rPr>
        <w:t xml:space="preserve">, </w:t>
      </w:r>
      <w:r>
        <w:rPr>
          <w:rtl w:val="true"/>
        </w:rPr>
        <w:t>השתלב בהליכים שנקבעו לו במסגרת צו הפיקוח</w:t>
      </w:r>
      <w:r>
        <w:rPr>
          <w:rtl w:val="true"/>
        </w:rPr>
        <w:t xml:space="preserve">, </w:t>
      </w:r>
      <w:r>
        <w:rPr>
          <w:rtl w:val="true"/>
        </w:rPr>
        <w:t>הודה במיוחס לו ונטל אחריות</w:t>
      </w:r>
      <w:r>
        <w:rPr>
          <w:rtl w:val="true"/>
        </w:rPr>
        <w:t xml:space="preserve">. </w:t>
      </w:r>
      <w:r>
        <w:rPr>
          <w:rtl w:val="true"/>
        </w:rPr>
        <w:t>שירות המבחן התרשם ממאמציו לקיים אורח חיים תקין וכן מהיות ההליך המשפטי כאלמנט מרתיע בעבורו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התרשם מנזקקות טיפולית תוך מתן דגש לקשייו בעיבוד האבל </w:t>
      </w:r>
      <w:r>
        <w:rPr>
          <w:rtl w:val="true"/>
        </w:rPr>
        <w:t xml:space="preserve">{ </w:t>
      </w:r>
      <w:r>
        <w:rPr>
          <w:rtl w:val="true"/>
        </w:rPr>
        <w:t>על בנו</w:t>
      </w:r>
      <w:r>
        <w:rPr>
          <w:rtl w:val="true"/>
        </w:rPr>
        <w:t xml:space="preserve">} </w:t>
      </w:r>
      <w:r>
        <w:rPr>
          <w:rtl w:val="true"/>
        </w:rPr>
        <w:t>והעמקת בחינת התנהלותו בתחומים נוספים</w:t>
      </w:r>
      <w:r>
        <w:rPr>
          <w:rtl w:val="true"/>
        </w:rPr>
        <w:t xml:space="preserve">. 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שיתף פעולה</w:t>
      </w:r>
      <w:r>
        <w:rPr>
          <w:rtl w:val="true"/>
        </w:rPr>
        <w:t xml:space="preserve">, </w:t>
      </w:r>
      <w:r>
        <w:rPr>
          <w:rtl w:val="true"/>
        </w:rPr>
        <w:t>מפיק תועלת מהקשר עם שירות המבחן וניכר מאמציו בהליכי השיקום בו הוא נתון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חוות דעת הממונה</w:t>
      </w:r>
      <w:r>
        <w:rPr>
          <w:rtl w:val="true"/>
        </w:rPr>
        <w:t xml:space="preserve"> על עבודות השירות בשב</w:t>
      </w:r>
      <w:r>
        <w:rPr>
          <w:rtl w:val="true"/>
        </w:rPr>
        <w:t>"</w:t>
      </w:r>
      <w:r>
        <w:rPr>
          <w:rtl w:val="true"/>
        </w:rPr>
        <w:t>ס מציינת כי הנאשם כשיר לרצוי עונש במסגרת עבודות השירות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lang w:eastAsia="he-IL"/>
        </w:rPr>
      </w:pPr>
      <w:r>
        <w:rPr>
          <w:u w:val="single"/>
          <w:rtl w:val="true"/>
        </w:rPr>
        <w:t>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עתר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להשית על הנאשם מאסר בפועל מאחורי סורג ובריח וזאת לאור חומרת העבירות ומדיניות הענישה בעבירות מהסוג בהן הורשע הנאשם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עתר לאמץ את המלצת שירות המבחן ולהשית על הנאשם של</w:t>
      </w:r>
      <w:r>
        <w:rPr>
          <w:rtl w:val="true"/>
        </w:rPr>
        <w:t>"</w:t>
      </w:r>
      <w:r>
        <w:rPr>
          <w:rtl w:val="true"/>
        </w:rPr>
        <w:t xml:space="preserve">צ ומאסר על תנאי וזאת  לאור האמור בתסקיר שהוגש בתאריך </w:t>
      </w:r>
      <w:r>
        <w:rPr/>
        <w:t>9/03/10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לחובת הנאשם </w:t>
      </w:r>
      <w:r>
        <w:rPr>
          <w:u w:val="single"/>
          <w:rtl w:val="true"/>
        </w:rPr>
        <w:t>רישום פלילי</w:t>
      </w:r>
      <w:r>
        <w:rPr>
          <w:rtl w:val="true"/>
        </w:rPr>
        <w:t xml:space="preserve"> הכולל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הרשעות בעבירות רכוש אותן ביצע בין השנים </w:t>
      </w:r>
      <w:r>
        <w:rPr/>
        <w:t>1994</w:t>
      </w:r>
      <w:r>
        <w:rPr>
          <w:rtl w:val="true"/>
        </w:rPr>
        <w:t xml:space="preserve">-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 xml:space="preserve">הרשעתו האחרונה בשנת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בגין ביצוע עבירה של קבלת רכב או חלקי רכב גנובים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ריצה שתי תקופות מאסר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חודשים בעבודות שירות </w:t>
      </w:r>
      <w:r>
        <w:rPr>
          <w:rtl w:val="true"/>
        </w:rPr>
        <w:t>{</w:t>
      </w:r>
      <w:r>
        <w:rPr>
          <w:rtl w:val="true"/>
        </w:rPr>
        <w:t xml:space="preserve">בשנת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 xml:space="preserve">ובשנת </w:t>
      </w:r>
      <w:r>
        <w:rPr/>
        <w:t>2001</w:t>
      </w:r>
      <w:r>
        <w:rPr>
          <w:rtl w:val="true"/>
        </w:rPr>
        <w:t xml:space="preserve">} </w:t>
      </w:r>
      <w:r>
        <w:rPr>
          <w:rtl w:val="true"/>
        </w:rPr>
        <w:t xml:space="preserve">וכן תקופה ממושכת של מאסר בפועל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 xml:space="preserve">{ </w:t>
      </w:r>
      <w:r>
        <w:rPr>
          <w:rtl w:val="true"/>
        </w:rPr>
        <w:t xml:space="preserve">בשנת </w:t>
      </w:r>
      <w:r>
        <w:rPr/>
        <w:t>2002</w:t>
      </w:r>
      <w:r>
        <w:rPr>
          <w:rtl w:val="true"/>
        </w:rPr>
        <w:t>}.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מטעם המאשימה הוגש פסיקה </w:t>
      </w:r>
      <w:r>
        <w:rPr>
          <w:rtl w:val="true"/>
        </w:rPr>
        <w:t xml:space="preserve">{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4797/05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חאמד עבד אל קאדר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אגא אדהאם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}  </w:t>
      </w:r>
      <w:r>
        <w:rPr>
          <w:rtl w:val="true"/>
        </w:rPr>
        <w:t>וכן רישום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הורשע בעבירות חמורות אשר אין להקל ראש בנסיבות ביצוען ופוטנציאל המסוכנות הגלום בביצוען</w:t>
      </w:r>
      <w:r>
        <w:rPr>
          <w:rtl w:val="true"/>
        </w:rPr>
        <w:t xml:space="preserve">. </w:t>
      </w:r>
      <w:r>
        <w:rPr>
          <w:rtl w:val="true"/>
        </w:rPr>
        <w:t>החזקת אקדח</w:t>
      </w:r>
      <w:r>
        <w:rPr>
          <w:rtl w:val="true"/>
        </w:rPr>
        <w:t xml:space="preserve">, </w:t>
      </w:r>
      <w:r>
        <w:rPr>
          <w:rtl w:val="true"/>
        </w:rPr>
        <w:t xml:space="preserve">טעון במחסנית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 xml:space="preserve">בביתו </w:t>
      </w:r>
      <w:r>
        <w:rPr>
          <w:rtl w:val="true"/>
        </w:rPr>
        <w:t xml:space="preserve">, </w:t>
      </w:r>
      <w:r>
        <w:rPr>
          <w:rtl w:val="true"/>
        </w:rPr>
        <w:t xml:space="preserve">מתחת לכרית עליה ישן </w:t>
      </w:r>
      <w:r>
        <w:rPr>
          <w:rtl w:val="true"/>
        </w:rPr>
        <w:t xml:space="preserve">, </w:t>
      </w:r>
      <w:r>
        <w:rPr>
          <w:rtl w:val="true"/>
        </w:rPr>
        <w:t>עלולות להוביל לתוצאות טראגיות בין במתכוון ובין אם ברשלנות ובכך חשף הנאשם עצמו ואחרים לפוטנציאל ממשי לפגיעה בגוף ובנפש</w:t>
      </w:r>
      <w:r>
        <w:rPr>
          <w:rtl w:val="true"/>
        </w:rPr>
        <w:t xml:space="preserve">. </w:t>
      </w:r>
      <w:r>
        <w:rPr>
          <w:rtl w:val="true"/>
        </w:rPr>
        <w:t>החזקת הנשק בשילוב המחסנית</w:t>
      </w:r>
      <w:r>
        <w:rPr>
          <w:rtl w:val="true"/>
        </w:rPr>
        <w:t xml:space="preserve">, </w:t>
      </w:r>
      <w:r>
        <w:rPr>
          <w:rtl w:val="true"/>
        </w:rPr>
        <w:t>במקום מגוריו</w:t>
      </w:r>
      <w:r>
        <w:rPr>
          <w:rtl w:val="true"/>
        </w:rPr>
        <w:t xml:space="preserve">, </w:t>
      </w:r>
      <w:r>
        <w:rPr>
          <w:rtl w:val="true"/>
        </w:rPr>
        <w:t xml:space="preserve">בדרך שאינה מוסווית </w:t>
      </w:r>
      <w:r>
        <w:rPr>
          <w:rtl w:val="true"/>
        </w:rPr>
        <w:t>{</w:t>
      </w:r>
      <w:r>
        <w:rPr>
          <w:rtl w:val="true"/>
        </w:rPr>
        <w:t>מתחת לכרית</w:t>
      </w:r>
      <w:r>
        <w:rPr>
          <w:rtl w:val="true"/>
        </w:rPr>
        <w:t xml:space="preserve">} </w:t>
      </w:r>
      <w:r>
        <w:rPr>
          <w:rtl w:val="true"/>
        </w:rPr>
        <w:t>רק מגבירים את הפוטנציאל והסיכון הטמון בכך</w:t>
      </w:r>
      <w:r>
        <w:rPr>
          <w:rtl w:val="true"/>
        </w:rPr>
        <w:t xml:space="preserve">. </w:t>
      </w:r>
      <w:r>
        <w:rPr>
          <w:rtl w:val="true"/>
        </w:rPr>
        <w:t>לעניין המסוכנות אפנה להחלטת בית המשפט העליון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בי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החזקה של כלי נשק על ידי מי שאינו מורשה בכך יש פוטנציאל להוביל להסלמה חמורה ולתוצאות קשות של כל אירוע בו יהיה מעורב אותו נושא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אף מקום שהנשק מוחזק אך למטרות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 עצמית בלבד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לכך יש לצרך את 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רובנשטיין 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הייתם עוואודה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>: "</w:t>
      </w:r>
      <w:r>
        <w:rPr>
          <w:b/>
          <w:b/>
          <w:bCs/>
          <w:rtl w:val="true"/>
        </w:rPr>
        <w:t>נשק הוא נשק הוא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הישראליות נשק בידיים לא מורשות עלול להתגלגל למקום לא 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וכדברי האומר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מחזה שבמערכתו הראשונה נראה 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 האקדח לירות במערכה האחרונה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לאור הסכנה הטמונה בעבירות הללו נקבע כי יש להשית עונשי מאסר בפועל גם על מי שזו עבירתו הראשונה </w:t>
      </w:r>
      <w:r>
        <w:rPr>
          <w:rtl w:val="true"/>
        </w:rPr>
        <w:t>{</w:t>
      </w:r>
      <w:r>
        <w:rPr>
          <w:rtl w:val="true"/>
        </w:rPr>
        <w:t xml:space="preserve">ראה 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פואד אבו דאחל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rtl w:val="true"/>
        </w:rPr>
        <w:t>אגא אדהאם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}.  </w:t>
      </w:r>
      <w:r>
        <w:rPr>
          <w:rtl w:val="true"/>
        </w:rPr>
        <w:t xml:space="preserve">הדגש הינו על פוטנציאל המסוכנות ואלמנט ההרתעה </w:t>
      </w:r>
      <w:r>
        <w:rPr>
          <w:rtl w:val="true"/>
        </w:rPr>
        <w:t>{</w:t>
      </w:r>
      <w:r>
        <w:rPr>
          <w:rtl w:val="true"/>
        </w:rPr>
        <w:t>היחיד והרבים</w:t>
      </w:r>
      <w:r>
        <w:rPr>
          <w:rtl w:val="true"/>
        </w:rPr>
        <w:t>}.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 עם זאת ולצד החומרה שבמעשיו תורת הענישה הינה אינדיווידואלית כך שיש ליתן המשקל לנסיבותיו לקולא של הנאשם</w:t>
      </w:r>
      <w:r>
        <w:rPr>
          <w:rtl w:val="true"/>
        </w:rPr>
        <w:t xml:space="preserve">. </w:t>
      </w:r>
      <w:r>
        <w:rPr>
          <w:rtl w:val="true"/>
        </w:rPr>
        <w:t>הנאשם נשוי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 קטינים</w:t>
      </w:r>
      <w:r>
        <w:rPr>
          <w:rtl w:val="true"/>
        </w:rPr>
        <w:t xml:space="preserve">, </w:t>
      </w:r>
      <w:r>
        <w:rPr>
          <w:rtl w:val="true"/>
        </w:rPr>
        <w:t>בנו הבכור נפטר לפני כשמונה שנים</w:t>
      </w:r>
      <w:r>
        <w:rPr>
          <w:rtl w:val="true"/>
        </w:rPr>
        <w:t xml:space="preserve">, </w:t>
      </w:r>
      <w:r>
        <w:rPr>
          <w:rtl w:val="true"/>
        </w:rPr>
        <w:t>אימו נפטרה אף היא לפני 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ואביו מתמודד עם מחלה קשה</w:t>
      </w:r>
      <w:r>
        <w:rPr>
          <w:rtl w:val="true"/>
        </w:rPr>
        <w:t xml:space="preserve">. </w:t>
      </w:r>
      <w:r>
        <w:rPr>
          <w:rtl w:val="true"/>
        </w:rPr>
        <w:t>אכן נסיבות חייו מורכבות</w:t>
      </w:r>
      <w:r>
        <w:rPr>
          <w:rtl w:val="true"/>
        </w:rPr>
        <w:t xml:space="preserve">, </w:t>
      </w:r>
      <w:r>
        <w:rPr>
          <w:rtl w:val="true"/>
        </w:rPr>
        <w:t>מלוות קשיים רגשיים וכלכליים</w:t>
      </w:r>
      <w:r>
        <w:rPr>
          <w:rtl w:val="true"/>
        </w:rPr>
        <w:t xml:space="preserve">, </w:t>
      </w:r>
      <w:r>
        <w:rPr>
          <w:rtl w:val="true"/>
        </w:rPr>
        <w:t>וניכר שינוי בדפוסיו לאחר פטירת בנו</w:t>
      </w:r>
      <w:r>
        <w:rPr>
          <w:rtl w:val="true"/>
        </w:rPr>
        <w:t xml:space="preserve">, </w:t>
      </w:r>
      <w:r>
        <w:rPr>
          <w:rtl w:val="true"/>
        </w:rPr>
        <w:t>כפי התרשמות שירות המבחן וכפי העולה מרישומו הפלילי</w:t>
      </w:r>
      <w:r>
        <w:rPr>
          <w:rtl w:val="true"/>
        </w:rPr>
        <w:t xml:space="preserve">. </w:t>
      </w:r>
      <w:r>
        <w:rPr>
          <w:rtl w:val="true"/>
        </w:rPr>
        <w:t xml:space="preserve">העבירה האחרונה אותה ביצע הינה בשנת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ועניינה בתחום הרכוש</w:t>
      </w:r>
      <w:r>
        <w:rPr>
          <w:rtl w:val="true"/>
        </w:rPr>
        <w:t xml:space="preserve">. </w:t>
      </w:r>
      <w:r>
        <w:rPr>
          <w:rtl w:val="true"/>
        </w:rPr>
        <w:t>העבירה שבפניי בוצעה לפני כשנה ומאז לא הסתבך הנאשם בפלילים</w:t>
      </w:r>
      <w:r>
        <w:rPr>
          <w:rtl w:val="true"/>
        </w:rPr>
        <w:t xml:space="preserve">. </w:t>
      </w:r>
      <w:r>
        <w:rPr>
          <w:rtl w:val="true"/>
        </w:rPr>
        <w:t>הנאשם בעיצמו של תהליך שיקום</w:t>
      </w:r>
      <w:r>
        <w:rPr>
          <w:rtl w:val="true"/>
        </w:rPr>
        <w:t xml:space="preserve">, </w:t>
      </w:r>
      <w:r>
        <w:rPr>
          <w:rtl w:val="true"/>
        </w:rPr>
        <w:t>שיתף פעולה עם שירות המבחן</w:t>
      </w:r>
      <w:r>
        <w:rPr>
          <w:rtl w:val="true"/>
        </w:rPr>
        <w:t xml:space="preserve">, </w:t>
      </w:r>
      <w:r>
        <w:rPr>
          <w:rtl w:val="true"/>
        </w:rPr>
        <w:t>הראה נכונות ובעל מוטיבציה להתמיד בקשר עם שירות המבחן</w:t>
      </w:r>
      <w:r>
        <w:rPr>
          <w:rtl w:val="true"/>
        </w:rPr>
        <w:t xml:space="preserve">. </w:t>
      </w:r>
      <w:r>
        <w:rPr>
          <w:rtl w:val="true"/>
        </w:rPr>
        <w:t>המוטיבציה בשילוב ההליך המוצע מפחיתים במידה רבה את המסוכנות הנשקפת מהנאשם וכן את הסבירות להישנות ביצוע עבירות נוספות</w:t>
      </w:r>
      <w:r>
        <w:rPr>
          <w:rtl w:val="true"/>
        </w:rPr>
        <w:t xml:space="preserve">. </w:t>
      </w:r>
      <w:r>
        <w:rPr>
          <w:rtl w:val="true"/>
        </w:rPr>
        <w:t>לכך יש לצרף נטילת האחריות</w:t>
      </w:r>
      <w:r>
        <w:rPr>
          <w:rtl w:val="true"/>
        </w:rPr>
        <w:t xml:space="preserve">, </w:t>
      </w:r>
      <w:r>
        <w:rPr>
          <w:rtl w:val="true"/>
        </w:rPr>
        <w:t>החרטה שהביע</w:t>
      </w:r>
      <w:r>
        <w:rPr>
          <w:rtl w:val="true"/>
        </w:rPr>
        <w:t xml:space="preserve">, </w:t>
      </w:r>
      <w:r>
        <w:rPr>
          <w:rtl w:val="true"/>
        </w:rPr>
        <w:t>הודאתו והחסכון בזמן 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  <w:b/>
          <w:rtl w:val="true"/>
        </w:rPr>
        <w:t>לאור כל האמור לעיל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ובהתחשב בשיקולי הענישה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הנסיבות לקולא ולחומרא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ונסיבות העושה והמעשה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הנני דן את הנאשם כדלקמן</w:t>
      </w:r>
      <w:r>
        <w:rPr>
          <w:b/>
          <w:rtl w:val="true"/>
        </w:rPr>
        <w:t>:</w:t>
      </w:r>
    </w:p>
    <w:p>
      <w:pPr>
        <w:pStyle w:val="Normal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בפועל אשר ירוצו בעבודות שירות בהתאם לחוות דעת הממונה על  עבודות השירות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 יתייצב לתחילת ריצוי העונש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10/08/10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 מחוז דרום שליד כלא באר שבע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מאסר על תנאי למשך שלוש שנים מהיום</w:t>
      </w:r>
      <w:r>
        <w:rPr>
          <w:rtl w:val="true"/>
        </w:rPr>
        <w:t xml:space="preserve">, </w:t>
      </w:r>
      <w:r>
        <w:rPr>
          <w:rtl w:val="true"/>
        </w:rPr>
        <w:t>שהנאשם לא יעבור על אחת העבירות בהן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צו מבחן לפיו ימצא הנאשם בפיקוח שירות המבחן למשך שנה מהיום וישתתף בכל תוכנית שתקבע 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מורה על השמדת</w:t>
      </w:r>
      <w:r>
        <w:rPr>
          <w:rtl w:val="true"/>
        </w:rPr>
        <w:t>/</w:t>
      </w:r>
      <w:r>
        <w:rPr>
          <w:rtl w:val="true"/>
        </w:rPr>
        <w:t>חילוט המוצגים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שיקול דעת רשם המוצגים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עותק גזר הדין ישלח לממונה על עבודות השירות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 ערעור כחוק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#9#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דוחה את תחילת ריצוי העונש ליום </w:t>
      </w:r>
      <w:r>
        <w:rPr/>
        <w:t>05.10.10</w:t>
      </w:r>
      <w:r>
        <w:rPr>
          <w:rtl w:val="true"/>
        </w:rPr>
        <w:t xml:space="preserve">, </w:t>
      </w:r>
      <w:r>
        <w:rPr>
          <w:rtl w:val="true"/>
        </w:rPr>
        <w:t xml:space="preserve">יתייצב הנאשם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 מחוז דרום לרצות את 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ורג אמוראי </w:t>
      </w:r>
      <w:r>
        <w:rPr>
          <w:color w:val="000000"/>
          <w:sz w:val="22"/>
          <w:szCs w:val="22"/>
        </w:rPr>
        <w:t>54678313-2480/09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21/07/2010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/Users/liorb/Downloads/study2025-p2/SH-09-2480-813.doc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2480-09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עאנד אעסם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77355" TargetMode="External"/><Relationship Id="rId7" Type="http://schemas.openxmlformats.org/officeDocument/2006/relationships/hyperlink" Target="http://www.nevo.co.il/case/6072945" TargetMode="External"/><Relationship Id="rId8" Type="http://schemas.openxmlformats.org/officeDocument/2006/relationships/hyperlink" Target="http://www.nevo.co.il/case/6040482" TargetMode="External"/><Relationship Id="rId9" Type="http://schemas.openxmlformats.org/officeDocument/2006/relationships/hyperlink" Target="http://www.nevo.co.il/case/6000182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6072945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2016-07-06T10:13:00Z</dcterms:created>
  <dc:creator> </dc:creator>
  <dc:description/>
  <cp:keywords/>
  <dc:language>en-IL</dc:language>
  <cp:lastModifiedBy>hofit</cp:lastModifiedBy>
  <dcterms:modified xsi:type="dcterms:W3CDTF">2016-07-06T10:13:00Z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עאנד אעסם</vt:lpwstr>
  </property>
  <property fmtid="{D5CDD505-2E9C-101B-9397-08002B2CF9AE}" pid="4" name="CASESLISTTMP1">
    <vt:lpwstr>5977355;6072945:2;6040482;6000182;5852404</vt:lpwstr>
  </property>
  <property fmtid="{D5CDD505-2E9C-101B-9397-08002B2CF9AE}" pid="5" name="CITY">
    <vt:lpwstr>ב"ש</vt:lpwstr>
  </property>
  <property fmtid="{D5CDD505-2E9C-101B-9397-08002B2CF9AE}" pid="6" name="DATE">
    <vt:lpwstr>20100721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 אמוראי</vt:lpwstr>
  </property>
  <property fmtid="{D5CDD505-2E9C-101B-9397-08002B2CF9AE}" pid="10" name="LAWLISTTMP1">
    <vt:lpwstr>70301/144.a</vt:lpwstr>
  </property>
  <property fmtid="{D5CDD505-2E9C-101B-9397-08002B2CF9AE}" pid="11" name="LAWYER">
    <vt:lpwstr>רחלי חג'ג';שאול דיוויס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2480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2480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sh 09 2480 813 htm</vt:lpwstr>
  </property>
  <property fmtid="{D5CDD505-2E9C-101B-9397-08002B2CF9AE}" pid="36" name="TYPE">
    <vt:lpwstr>3</vt:lpwstr>
  </property>
  <property fmtid="{D5CDD505-2E9C-101B-9397-08002B2CF9AE}" pid="37" name="TYPE_ABS_DATE">
    <vt:lpwstr>380020100721</vt:lpwstr>
  </property>
  <property fmtid="{D5CDD505-2E9C-101B-9397-08002B2CF9AE}" pid="38" name="TYPE_N_DATE">
    <vt:lpwstr>38020100721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