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8"/>
        <w:gridCol w:w="3663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בירושלים</w:t>
            </w:r>
          </w:p>
        </w:tc>
      </w:tr>
      <w:tr>
        <w:trPr>
          <w:trHeight w:val="337" w:hRule="atLeast"/>
        </w:trPr>
        <w:tc>
          <w:tcPr>
            <w:tcW w:w="5058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24822-01-21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עבאסי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3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5062"/>
        <w:gridCol w:w="2835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FrankRuehl" w:hAnsi="FrankRuehl" w:cs="FrankRuehl"/>
                <w:b/>
                <w:bCs/>
                <w:sz w:val="30"/>
                <w:szCs w:val="30"/>
              </w:rPr>
            </w:pPr>
            <w:r>
              <w:rPr>
                <w:rFonts w:ascii="FrankRuehl" w:hAnsi="FrankRueh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 xml:space="preserve">בפני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FrankRuehl" w:hAnsi="FrankRuehl" w:cs="FrankRuehl"/>
                <w:b/>
                <w:bCs/>
                <w:sz w:val="30"/>
                <w:szCs w:val="30"/>
              </w:rPr>
            </w:pPr>
            <w:r>
              <w:rPr>
                <w:rFonts w:ascii="FrankRuehl" w:hAnsi="FrankRueh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כב</w:t>
            </w:r>
            <w:r>
              <w:rPr>
                <w:rFonts w:cs="FrankRuehl" w:ascii="FrankRuehl" w:hAnsi="FrankRuehl"/>
                <w:b/>
                <w:bCs/>
                <w:sz w:val="30"/>
                <w:szCs w:val="30"/>
                <w:rtl w:val="true"/>
              </w:rPr>
              <w:t xml:space="preserve">' </w:t>
            </w:r>
            <w:r>
              <w:rPr>
                <w:rFonts w:ascii="FrankRuehl" w:hAnsi="FrankRueh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השופט  אילן סלע</w:t>
            </w:r>
          </w:p>
          <w:p>
            <w:pPr>
              <w:pStyle w:val="Normal"/>
              <w:ind w:end="0"/>
              <w:jc w:val="both"/>
              <w:rPr>
                <w:rFonts w:ascii="FrankRuehl" w:hAnsi="FrankRuehl" w:cs="FrankRuehl"/>
                <w:b/>
                <w:bCs/>
                <w:sz w:val="30"/>
                <w:szCs w:val="30"/>
              </w:rPr>
            </w:pPr>
            <w:r>
              <w:rPr>
                <w:rFonts w:cs="FrankRuehl" w:ascii="FrankRuehl" w:hAnsi="FrankRuehl"/>
                <w:b/>
                <w:bCs/>
                <w:sz w:val="30"/>
                <w:szCs w:val="30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FrankRuehl" w:hAnsi="FrankRuehl" w:cs="FrankRuehl"/>
                <w:b/>
                <w:bCs/>
                <w:sz w:val="30"/>
                <w:szCs w:val="30"/>
              </w:rPr>
            </w:pPr>
            <w:bookmarkStart w:id="2" w:name="FirstAppellant"/>
            <w:bookmarkEnd w:id="2"/>
            <w:r>
              <w:rPr>
                <w:rFonts w:ascii="FrankRuehl" w:hAnsi="FrankRueh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בעניין</w:t>
            </w:r>
            <w:r>
              <w:rPr>
                <w:rFonts w:cs="FrankRuehl" w:ascii="FrankRuehl" w:hAnsi="FrankRuehl"/>
                <w:b/>
                <w:bCs/>
                <w:sz w:val="30"/>
                <w:szCs w:val="30"/>
                <w:rtl w:val="true"/>
              </w:rPr>
              <w:t>:</w:t>
            </w:r>
          </w:p>
        </w:tc>
        <w:tc>
          <w:tcPr>
            <w:tcW w:w="5062" w:type="dxa"/>
            <w:tcBorders/>
          </w:tcPr>
          <w:p>
            <w:pPr>
              <w:pStyle w:val="Normal"/>
              <w:ind w:end="0"/>
              <w:jc w:val="start"/>
              <w:rPr>
                <w:rFonts w:ascii="FrankRuehl" w:hAnsi="FrankRuehl" w:cs="FrankRuehl"/>
                <w:b/>
                <w:bCs/>
                <w:sz w:val="30"/>
                <w:szCs w:val="30"/>
              </w:rPr>
            </w:pPr>
            <w:r>
              <w:rPr>
                <w:rFonts w:ascii="FrankRuehl" w:hAnsi="FrankRueh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מדינת ישראל</w:t>
            </w:r>
          </w:p>
        </w:tc>
        <w:tc>
          <w:tcPr>
            <w:tcW w:w="283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FrankRuehl" w:hAnsi="FrankRuehl" w:cs="FrankRuehl"/>
                <w:b/>
                <w:bCs/>
                <w:sz w:val="30"/>
                <w:szCs w:val="30"/>
              </w:rPr>
            </w:pPr>
            <w:r>
              <w:rPr>
                <w:rFonts w:cs="FrankRuehl" w:ascii="FrankRuehl" w:hAnsi="FrankRuehl"/>
                <w:b/>
                <w:bCs/>
                <w:sz w:val="30"/>
                <w:szCs w:val="30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FrankRuehl" w:hAnsi="FrankRuehl" w:cs="FrankRuehl"/>
                <w:b/>
                <w:bCs/>
                <w:sz w:val="30"/>
                <w:szCs w:val="30"/>
              </w:rPr>
            </w:pPr>
            <w:r>
              <w:rPr>
                <w:rFonts w:cs="FrankRuehl" w:ascii="FrankRuehl" w:hAnsi="FrankRuehl"/>
                <w:b/>
                <w:bCs/>
                <w:sz w:val="30"/>
                <w:szCs w:val="30"/>
                <w:rtl w:val="true"/>
              </w:rPr>
            </w:r>
          </w:p>
        </w:tc>
        <w:tc>
          <w:tcPr>
            <w:tcW w:w="5062" w:type="dxa"/>
            <w:tcBorders/>
          </w:tcPr>
          <w:p>
            <w:pPr>
              <w:pStyle w:val="Normal"/>
              <w:ind w:end="0"/>
              <w:jc w:val="both"/>
              <w:rPr>
                <w:rFonts w:ascii="FrankRuehl" w:hAnsi="FrankRuehl" w:cs="FrankRuehl"/>
                <w:b/>
                <w:bCs/>
                <w:sz w:val="30"/>
                <w:szCs w:val="30"/>
              </w:rPr>
            </w:pPr>
            <w:r>
              <w:rPr>
                <w:rFonts w:ascii="FrankRuehl" w:hAnsi="FrankRueh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 xml:space="preserve">באמצעות פרקליטות מחוז ירושלים </w:t>
            </w:r>
            <w:r>
              <w:rPr>
                <w:rFonts w:cs="FrankRuehl" w:ascii="FrankRuehl" w:hAnsi="FrankRuehl"/>
                <w:b/>
                <w:bCs/>
                <w:sz w:val="30"/>
                <w:szCs w:val="30"/>
                <w:rtl w:val="true"/>
              </w:rPr>
              <w:t>(</w:t>
            </w:r>
            <w:r>
              <w:rPr>
                <w:rFonts w:ascii="FrankRuehl" w:hAnsi="FrankRueh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פלילי</w:t>
            </w:r>
            <w:r>
              <w:rPr>
                <w:rFonts w:cs="FrankRuehl" w:ascii="FrankRuehl" w:hAnsi="FrankRuehl"/>
                <w:b/>
                <w:bCs/>
                <w:sz w:val="30"/>
                <w:szCs w:val="30"/>
                <w:rtl w:val="true"/>
              </w:rPr>
              <w:t>),</w:t>
            </w:r>
          </w:p>
          <w:p>
            <w:pPr>
              <w:pStyle w:val="Normal"/>
              <w:ind w:end="0"/>
              <w:jc w:val="both"/>
              <w:rPr>
                <w:rFonts w:ascii="FrankRuehl" w:hAnsi="FrankRuehl" w:cs="FrankRuehl"/>
                <w:b/>
                <w:bCs/>
                <w:sz w:val="30"/>
                <w:szCs w:val="30"/>
              </w:rPr>
            </w:pPr>
            <w:r>
              <w:rPr>
                <w:rFonts w:ascii="FrankRuehl" w:hAnsi="FrankRueh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ע</w:t>
            </w:r>
            <w:r>
              <w:rPr>
                <w:rFonts w:cs="FrankRuehl" w:ascii="FrankRuehl" w:hAnsi="FrankRuehl"/>
                <w:b/>
                <w:bCs/>
                <w:sz w:val="30"/>
                <w:szCs w:val="30"/>
                <w:rtl w:val="true"/>
              </w:rPr>
              <w:t>"</w:t>
            </w:r>
            <w:r>
              <w:rPr>
                <w:rFonts w:ascii="FrankRuehl" w:hAnsi="FrankRueh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י עו</w:t>
            </w:r>
            <w:r>
              <w:rPr>
                <w:rFonts w:cs="FrankRuehl" w:ascii="FrankRuehl" w:hAnsi="FrankRuehl"/>
                <w:b/>
                <w:bCs/>
                <w:sz w:val="30"/>
                <w:szCs w:val="30"/>
                <w:rtl w:val="true"/>
              </w:rPr>
              <w:t>"</w:t>
            </w:r>
            <w:r>
              <w:rPr>
                <w:rFonts w:ascii="FrankRuehl" w:hAnsi="FrankRueh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ד שי עציון</w:t>
            </w:r>
          </w:p>
        </w:tc>
        <w:tc>
          <w:tcPr>
            <w:tcW w:w="2835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FrankRuehl" w:hAnsi="FrankRuehl" w:cs="FrankRuehl"/>
                <w:b/>
                <w:bCs/>
                <w:sz w:val="30"/>
                <w:szCs w:val="30"/>
              </w:rPr>
            </w:pPr>
            <w:r>
              <w:rPr>
                <w:rFonts w:cs="FrankRuehl" w:ascii="FrankRuehl" w:hAnsi="FrankRuehl"/>
                <w:b/>
                <w:bCs/>
                <w:sz w:val="30"/>
                <w:szCs w:val="30"/>
                <w:rtl w:val="true"/>
              </w:rPr>
            </w:r>
          </w:p>
          <w:p>
            <w:pPr>
              <w:pStyle w:val="Normal"/>
              <w:ind w:end="0"/>
              <w:jc w:val="end"/>
              <w:rPr>
                <w:rFonts w:ascii="FrankRuehl" w:hAnsi="FrankRuehl" w:cs="FrankRuehl"/>
                <w:b/>
                <w:bCs/>
                <w:sz w:val="30"/>
                <w:szCs w:val="30"/>
              </w:rPr>
            </w:pPr>
            <w:r>
              <w:rPr>
                <w:rFonts w:ascii="FrankRuehl" w:hAnsi="FrankRueh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המאשימה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FrankRuehl" w:hAnsi="FrankRuehl" w:cs="FrankRuehl"/>
                <w:b/>
                <w:bCs/>
                <w:sz w:val="30"/>
                <w:szCs w:val="30"/>
              </w:rPr>
            </w:pPr>
            <w:r>
              <w:rPr>
                <w:rFonts w:cs="FrankRuehl" w:ascii="FrankRuehl" w:hAnsi="FrankRuehl"/>
                <w:b/>
                <w:bCs/>
                <w:sz w:val="30"/>
                <w:szCs w:val="30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FrankRuehl" w:hAnsi="FrankRuehl" w:cs="FrankRuehl"/>
                <w:b/>
                <w:bCs/>
                <w:sz w:val="30"/>
                <w:szCs w:val="30"/>
              </w:rPr>
            </w:pPr>
            <w:r>
              <w:rPr>
                <w:rFonts w:cs="FrankRuehl" w:ascii="FrankRuehl" w:hAnsi="FrankRuehl"/>
                <w:b/>
                <w:bCs/>
                <w:sz w:val="30"/>
                <w:szCs w:val="30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FrankRuehl" w:hAnsi="FrankRuehl" w:cs="FrankRuehl"/>
                <w:b/>
                <w:bCs/>
                <w:sz w:val="30"/>
                <w:szCs w:val="30"/>
              </w:rPr>
            </w:pPr>
            <w:r>
              <w:rPr>
                <w:rFonts w:ascii="FrankRuehl" w:hAnsi="FrankRueh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נ ג ד</w:t>
            </w:r>
          </w:p>
          <w:p>
            <w:pPr>
              <w:pStyle w:val="Normal"/>
              <w:ind w:end="0"/>
              <w:jc w:val="both"/>
              <w:rPr>
                <w:rFonts w:ascii="FrankRuehl" w:hAnsi="FrankRuehl" w:cs="FrankRuehl"/>
                <w:b/>
                <w:bCs/>
                <w:sz w:val="30"/>
                <w:szCs w:val="30"/>
              </w:rPr>
            </w:pPr>
            <w:r>
              <w:rPr>
                <w:rFonts w:cs="FrankRuehl" w:ascii="FrankRuehl" w:hAnsi="FrankRuehl"/>
                <w:b/>
                <w:bCs/>
                <w:sz w:val="30"/>
                <w:szCs w:val="30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FrankRuehl" w:hAnsi="FrankRuehl" w:cs="FrankRuehl"/>
                <w:b/>
                <w:bCs/>
                <w:sz w:val="30"/>
                <w:szCs w:val="30"/>
              </w:rPr>
            </w:pPr>
            <w:r>
              <w:rPr>
                <w:rFonts w:cs="FrankRuehl" w:ascii="FrankRuehl" w:hAnsi="FrankRuehl"/>
                <w:b/>
                <w:bCs/>
                <w:sz w:val="30"/>
                <w:szCs w:val="30"/>
                <w:rtl w:val="true"/>
              </w:rPr>
            </w:r>
          </w:p>
        </w:tc>
        <w:tc>
          <w:tcPr>
            <w:tcW w:w="5062" w:type="dxa"/>
            <w:tcBorders/>
          </w:tcPr>
          <w:p>
            <w:pPr>
              <w:pStyle w:val="Normal"/>
              <w:ind w:end="0"/>
              <w:jc w:val="start"/>
              <w:rPr>
                <w:rFonts w:ascii="FrankRuehl" w:hAnsi="FrankRuehl" w:cs="FrankRuehl"/>
                <w:b/>
                <w:bCs/>
                <w:sz w:val="30"/>
                <w:szCs w:val="30"/>
              </w:rPr>
            </w:pPr>
            <w:r>
              <w:rPr>
                <w:rFonts w:ascii="FrankRuehl" w:hAnsi="FrankRueh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 xml:space="preserve">מוסא עבאסי </w:t>
            </w:r>
            <w:r>
              <w:rPr>
                <w:rFonts w:cs="FrankRuehl" w:ascii="FrankRuehl" w:hAnsi="FrankRuehl"/>
                <w:b/>
                <w:bCs/>
                <w:sz w:val="30"/>
                <w:szCs w:val="30"/>
                <w:rtl w:val="true"/>
              </w:rPr>
              <w:br/>
            </w:r>
            <w:r>
              <w:rPr>
                <w:rFonts w:ascii="FrankRuehl" w:hAnsi="FrankRueh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ע</w:t>
            </w:r>
            <w:r>
              <w:rPr>
                <w:rFonts w:cs="FrankRuehl" w:ascii="FrankRuehl" w:hAnsi="FrankRuehl"/>
                <w:b/>
                <w:bCs/>
                <w:sz w:val="30"/>
                <w:szCs w:val="30"/>
                <w:rtl w:val="true"/>
              </w:rPr>
              <w:t>"</w:t>
            </w:r>
            <w:r>
              <w:rPr>
                <w:rFonts w:ascii="FrankRuehl" w:hAnsi="FrankRueh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י ב</w:t>
            </w:r>
            <w:r>
              <w:rPr>
                <w:rFonts w:cs="FrankRuehl" w:ascii="FrankRuehl" w:hAnsi="FrankRuehl"/>
                <w:b/>
                <w:bCs/>
                <w:sz w:val="30"/>
                <w:szCs w:val="30"/>
                <w:rtl w:val="true"/>
              </w:rPr>
              <w:t>"</w:t>
            </w:r>
            <w:r>
              <w:rPr>
                <w:rFonts w:ascii="FrankRuehl" w:hAnsi="FrankRueh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כ עו</w:t>
            </w:r>
            <w:r>
              <w:rPr>
                <w:rFonts w:cs="FrankRuehl" w:ascii="FrankRuehl" w:hAnsi="FrankRuehl"/>
                <w:b/>
                <w:bCs/>
                <w:sz w:val="30"/>
                <w:szCs w:val="30"/>
                <w:rtl w:val="true"/>
              </w:rPr>
              <w:t>"</w:t>
            </w:r>
            <w:r>
              <w:rPr>
                <w:rFonts w:ascii="FrankRuehl" w:hAnsi="FrankRueh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ד בדריה עותמאן</w:t>
            </w:r>
          </w:p>
        </w:tc>
        <w:tc>
          <w:tcPr>
            <w:tcW w:w="2835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FrankRuehl" w:hAnsi="FrankRuehl" w:cs="FrankRuehl"/>
                <w:b/>
                <w:bCs/>
                <w:sz w:val="30"/>
                <w:szCs w:val="30"/>
              </w:rPr>
            </w:pPr>
            <w:r>
              <w:rPr>
                <w:rFonts w:cs="FrankRuehl" w:ascii="FrankRuehl" w:hAnsi="FrankRuehl"/>
                <w:b/>
                <w:bCs/>
                <w:sz w:val="30"/>
                <w:szCs w:val="30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FrankRuehl" w:hAnsi="FrankRuehl" w:cs="FrankRuehl"/>
                <w:b/>
                <w:bCs/>
                <w:sz w:val="30"/>
                <w:szCs w:val="30"/>
              </w:rPr>
            </w:pPr>
            <w:r>
              <w:rPr>
                <w:rFonts w:cs="FrankRuehl" w:ascii="FrankRuehl" w:hAnsi="FrankRuehl"/>
                <w:b/>
                <w:bCs/>
                <w:sz w:val="30"/>
                <w:szCs w:val="30"/>
                <w:rtl w:val="true"/>
              </w:rPr>
            </w:r>
          </w:p>
        </w:tc>
        <w:tc>
          <w:tcPr>
            <w:tcW w:w="5062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FrankRuehl" w:hAnsi="FrankRuehl" w:cs="FrankRuehl"/>
                <w:b/>
                <w:bCs/>
                <w:sz w:val="30"/>
                <w:szCs w:val="30"/>
              </w:rPr>
            </w:pPr>
            <w:r>
              <w:rPr>
                <w:rFonts w:cs="FrankRuehl" w:ascii="FrankRuehl" w:hAnsi="FrankRuehl"/>
                <w:b/>
                <w:bCs/>
                <w:sz w:val="30"/>
                <w:szCs w:val="30"/>
                <w:rtl w:val="true"/>
              </w:rPr>
            </w:r>
          </w:p>
        </w:tc>
        <w:tc>
          <w:tcPr>
            <w:tcW w:w="2835" w:type="dxa"/>
            <w:tcBorders/>
          </w:tcPr>
          <w:p>
            <w:pPr>
              <w:pStyle w:val="Normal"/>
              <w:ind w:end="0"/>
              <w:jc w:val="center"/>
              <w:rPr>
                <w:rFonts w:ascii="FrankRuehl" w:hAnsi="FrankRuehl" w:cs="FrankRuehl"/>
                <w:b/>
                <w:bCs/>
                <w:sz w:val="30"/>
                <w:szCs w:val="30"/>
              </w:rPr>
            </w:pPr>
            <w:r>
              <w:rPr>
                <w:rFonts w:eastAsia="FrankRuehl" w:cs="FrankRuehl" w:ascii="FrankRuehl" w:hAnsi="FrankRuehl"/>
                <w:b/>
                <w:bCs/>
                <w:sz w:val="30"/>
                <w:szCs w:val="30"/>
                <w:rtl w:val="true"/>
              </w:rPr>
              <w:t xml:space="preserve">                     </w:t>
            </w:r>
            <w:r>
              <w:rPr>
                <w:rFonts w:ascii="FrankRuehl" w:hAnsi="FrankRueh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הנאשם</w:t>
            </w:r>
          </w:p>
        </w:tc>
      </w:tr>
    </w:tbl>
    <w:p>
      <w:pPr>
        <w:pStyle w:val="Normal"/>
        <w:ind w:end="0"/>
        <w:jc w:val="start"/>
        <w:rPr>
          <w:rFonts w:ascii="FrankRuehl" w:hAnsi="FrankRuehl" w:cs="FrankRuehl"/>
          <w:b/>
          <w:bCs/>
          <w:sz w:val="30"/>
          <w:szCs w:val="30"/>
        </w:rPr>
      </w:pPr>
      <w:r>
        <w:rPr>
          <w:rFonts w:cs="FrankRuehl" w:ascii="FrankRuehl" w:hAnsi="FrankRuehl"/>
          <w:b/>
          <w:bCs/>
          <w:sz w:val="30"/>
          <w:szCs w:val="30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  <w:b/>
          <w:bCs/>
          <w:sz w:val="30"/>
          <w:szCs w:val="30"/>
        </w:rPr>
      </w:pPr>
      <w:r>
        <w:rPr>
          <w:rFonts w:cs="FrankRuehl" w:ascii="FrankRuehl" w:hAnsi="FrankRuehl"/>
          <w:b/>
          <w:bCs/>
          <w:sz w:val="30"/>
          <w:szCs w:val="30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  <w:b/>
          <w:bCs/>
          <w:sz w:val="28"/>
          <w:szCs w:val="28"/>
        </w:rPr>
      </w:pP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נוכחים</w:t>
      </w:r>
      <w:r>
        <w:rPr>
          <w:rFonts w:cs="FrankRuehl" w:ascii="FrankRuehl" w:hAnsi="FrankRuehl"/>
          <w:b/>
          <w:bCs/>
          <w:sz w:val="28"/>
          <w:szCs w:val="28"/>
          <w:rtl w:val="true"/>
        </w:rPr>
        <w:t xml:space="preserve">: </w:t>
      </w:r>
    </w:p>
    <w:p>
      <w:pPr>
        <w:pStyle w:val="Normal"/>
        <w:ind w:end="0"/>
        <w:jc w:val="start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>ב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 המאשימה עו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ד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מרים בן גל</w:t>
      </w:r>
    </w:p>
    <w:p>
      <w:pPr>
        <w:pStyle w:val="Normal"/>
        <w:ind w:end="0"/>
        <w:jc w:val="start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>ב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 הנאשם עו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ד בדריה עותמאן</w:t>
      </w:r>
    </w:p>
    <w:p>
      <w:pPr>
        <w:pStyle w:val="Normal"/>
        <w:ind w:end="0"/>
        <w:jc w:val="start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>הנאשם בעצמו</w:t>
      </w:r>
    </w:p>
    <w:p>
      <w:pPr>
        <w:pStyle w:val="Normal"/>
        <w:ind w:end="0"/>
        <w:jc w:val="start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>מתורגמ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נית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בית המשפט לשפה הערבית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גב</w:t>
      </w:r>
      <w:r>
        <w:rPr>
          <w:rFonts w:cs="FrankRuehl" w:ascii="FrankRuehl" w:hAnsi="FrankRuehl"/>
          <w:sz w:val="28"/>
          <w:szCs w:val="28"/>
          <w:rtl w:val="true"/>
        </w:rPr>
        <w:t xml:space="preserve">'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רים דעדוע</w:t>
      </w:r>
    </w:p>
    <w:p>
      <w:pPr>
        <w:pStyle w:val="Header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  <w:b/>
          <w:bCs/>
          <w:sz w:val="30"/>
          <w:szCs w:val="30"/>
        </w:rPr>
      </w:pPr>
      <w:r>
        <w:rPr>
          <w:rFonts w:cs="FrankRuehl" w:ascii="FrankRuehl" w:hAnsi="FrankRuehl"/>
          <w:b/>
          <w:bCs/>
          <w:sz w:val="30"/>
          <w:szCs w:val="30"/>
          <w:rtl w:val="true"/>
        </w:rPr>
      </w:r>
    </w:p>
    <w:p>
      <w:pPr>
        <w:pStyle w:val="Normal"/>
        <w:ind w:end="0"/>
        <w:jc w:val="center"/>
        <w:rPr>
          <w:rFonts w:ascii="FrankRuehl" w:hAnsi="FrankRuehl" w:cs="FrankRuehl"/>
          <w:b/>
          <w:bCs/>
          <w:sz w:val="30"/>
          <w:szCs w:val="30"/>
        </w:rPr>
      </w:pPr>
      <w:r>
        <w:rPr>
          <w:rFonts w:cs="FrankRuehl" w:ascii="FrankRuehl" w:hAnsi="FrankRuehl"/>
          <w:b/>
          <w:bCs/>
          <w:sz w:val="30"/>
          <w:szCs w:val="30"/>
          <w:rtl w:val="true"/>
        </w:rPr>
      </w:r>
    </w:p>
    <w:p>
      <w:pPr>
        <w:pStyle w:val="Normal"/>
        <w:ind w:end="0"/>
        <w:jc w:val="center"/>
        <w:rPr>
          <w:rFonts w:ascii="FrankRuehl" w:hAnsi="FrankRuehl" w:cs="FrankRuehl"/>
          <w:b/>
          <w:bCs/>
          <w:sz w:val="30"/>
          <w:szCs w:val="30"/>
        </w:rPr>
      </w:pPr>
      <w:r>
        <w:rPr>
          <w:rFonts w:cs="FrankRuehl" w:ascii="FrankRuehl" w:hAnsi="FrankRuehl"/>
          <w:b/>
          <w:bCs/>
          <w:sz w:val="30"/>
          <w:szCs w:val="30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30"/>
          <w:szCs w:val="30"/>
        </w:rPr>
      </w:pPr>
      <w:r>
        <w:rPr>
          <w:rFonts w:cs="FrankRuehl" w:ascii="FrankRuehl" w:hAnsi="FrankRuehl"/>
          <w:sz w:val="30"/>
          <w:szCs w:val="30"/>
          <w:rtl w:val="true"/>
        </w:rPr>
      </w:r>
    </w:p>
    <w:p>
      <w:pPr>
        <w:pStyle w:val="Normal"/>
        <w:ind w:end="0"/>
        <w:jc w:val="center"/>
        <w:rPr>
          <w:rFonts w:ascii="FrankRuehl" w:hAnsi="FrankRuehl" w:cs="FrankRuehl"/>
          <w:sz w:val="30"/>
          <w:szCs w:val="30"/>
        </w:rPr>
      </w:pPr>
      <w:r>
        <w:rPr>
          <w:rFonts w:cs="FrankRuehl" w:ascii="FrankRuehl" w:hAnsi="FrankRuehl"/>
          <w:sz w:val="30"/>
          <w:szCs w:val="30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30"/>
          <w:szCs w:val="30"/>
        </w:rPr>
      </w:pPr>
      <w:r>
        <w:rPr>
          <w:rFonts w:cs="FrankRuehl" w:ascii="FrankRuehl" w:hAnsi="FrankRuehl"/>
          <w:sz w:val="30"/>
          <w:szCs w:val="30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25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</w:rPr>
          <w:t>340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</w:p>
    <w:p>
      <w:pPr>
        <w:pStyle w:val="Normal"/>
        <w:ind w:end="0"/>
        <w:jc w:val="center"/>
        <w:rPr>
          <w:rFonts w:ascii="FrankRuehl" w:hAnsi="FrankRuehl" w:cs="FrankRuehl"/>
          <w:sz w:val="30"/>
          <w:szCs w:val="30"/>
        </w:rPr>
      </w:pPr>
      <w:r>
        <w:rPr>
          <w:rFonts w:cs="FrankRuehl" w:ascii="FrankRuehl" w:hAnsi="FrankRuehl"/>
          <w:sz w:val="30"/>
          <w:szCs w:val="30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center"/>
        <w:rPr>
          <w:rFonts w:ascii="FrankRuehl" w:hAnsi="FrankRuehl" w:cs="FrankRuehl"/>
          <w:b/>
          <w:bCs/>
          <w:sz w:val="30"/>
          <w:szCs w:val="30"/>
        </w:rPr>
      </w:pPr>
      <w:r>
        <w:rPr>
          <w:rFonts w:cs="FrankRuehl" w:ascii="FrankRuehl" w:hAnsi="FrankRuehl"/>
          <w:b/>
          <w:bCs/>
          <w:sz w:val="30"/>
          <w:szCs w:val="30"/>
          <w:rtl w:val="true"/>
        </w:rPr>
      </w:r>
    </w:p>
    <w:p>
      <w:pPr>
        <w:pStyle w:val="Normal"/>
        <w:ind w:end="0"/>
        <w:jc w:val="center"/>
        <w:rPr>
          <w:rFonts w:ascii="FrankRuehl" w:hAnsi="FrankRuehl" w:cs="FrankRuehl"/>
          <w:b/>
          <w:bCs/>
          <w:sz w:val="36"/>
          <w:szCs w:val="36"/>
        </w:rPr>
      </w:pPr>
      <w:bookmarkStart w:id="7" w:name="PsakDin"/>
      <w:r>
        <w:rPr>
          <w:rFonts w:ascii="FrankRuehl" w:hAnsi="FrankRuehl" w:cs="FrankRuehl"/>
          <w:b/>
          <w:b/>
          <w:bCs/>
          <w:sz w:val="36"/>
          <w:sz w:val="36"/>
          <w:szCs w:val="36"/>
          <w:rtl w:val="true"/>
        </w:rPr>
        <w:t xml:space="preserve">גזר </w:t>
      </w:r>
      <w:bookmarkEnd w:id="7"/>
      <w:r>
        <w:rPr>
          <w:rFonts w:ascii="FrankRuehl" w:hAnsi="FrankRuehl" w:cs="FrankRuehl"/>
          <w:b/>
          <w:b/>
          <w:bCs/>
          <w:sz w:val="36"/>
          <w:sz w:val="36"/>
          <w:szCs w:val="36"/>
          <w:rtl w:val="true"/>
        </w:rPr>
        <w:t>דין</w:t>
      </w:r>
    </w:p>
    <w:p>
      <w:pPr>
        <w:pStyle w:val="Normal"/>
        <w:ind w:end="0"/>
        <w:jc w:val="start"/>
        <w:rPr>
          <w:rFonts w:ascii="FrankRuehl" w:hAnsi="FrankRuehl" w:cs="FrankRuehl"/>
          <w:b/>
          <w:bCs/>
          <w:sz w:val="30"/>
          <w:szCs w:val="30"/>
        </w:rPr>
      </w:pPr>
      <w:r>
        <w:rPr>
          <w:rFonts w:cs="FrankRuehl" w:ascii="FrankRuehl" w:hAnsi="FrankRuehl"/>
          <w:b/>
          <w:bCs/>
          <w:sz w:val="30"/>
          <w:szCs w:val="30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  <w:sz w:val="30"/>
          <w:szCs w:val="30"/>
        </w:rPr>
      </w:pPr>
      <w:r>
        <w:rPr>
          <w:rFonts w:cs="FrankRuehl" w:ascii="FrankRuehl" w:hAnsi="FrankRuehl"/>
          <w:sz w:val="30"/>
          <w:szCs w:val="30"/>
          <w:rtl w:val="true"/>
        </w:rPr>
      </w:r>
    </w:p>
    <w:p>
      <w:pPr>
        <w:pStyle w:val="Normal"/>
        <w:ind w:end="0"/>
        <w:jc w:val="start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b/>
          <w:bCs/>
          <w:sz w:val="28"/>
          <w:szCs w:val="28"/>
          <w:u w:val="single"/>
        </w:rPr>
      </w:pPr>
      <w:r>
        <w:rPr>
          <w:rFonts w:ascii="FrankRuehl" w:hAnsi="FrankRuehl" w:cs="FrankRuehl"/>
          <w:b/>
          <w:b/>
          <w:bCs/>
          <w:sz w:val="28"/>
          <w:sz w:val="28"/>
          <w:szCs w:val="28"/>
          <w:u w:val="single"/>
          <w:rtl w:val="true"/>
        </w:rPr>
        <w:t>האישומים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bookmarkStart w:id="8" w:name="ABSTRACT_START"/>
      <w:bookmarkEnd w:id="8"/>
      <w:r>
        <w:rPr>
          <w:rFonts w:ascii="FrankRuehl" w:hAnsi="FrankRuehl" w:cs="FrankRuehl"/>
          <w:sz w:val="28"/>
          <w:sz w:val="28"/>
          <w:szCs w:val="28"/>
          <w:rtl w:val="true"/>
        </w:rPr>
        <w:t>הנאשם הורשע על פי הודאתו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שניתנה במסגרת הסדר טיעון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בעבירות שיוחסו לו בכתב האישום המתוקן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כתב האישום כלל שישה אישומים אשר על פיהם ביצע הנאשם עבירה של ירי מנשק חם לפי </w:t>
      </w:r>
      <w:hyperlink r:id="rId7"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 xml:space="preserve">סעיף </w:t>
        </w:r>
        <w:r>
          <w:rPr>
            <w:rStyle w:val="Hyperlink"/>
            <w:rFonts w:cs="FrankRuehl" w:ascii="FrankRuehl" w:hAnsi="FrankRuehl"/>
            <w:sz w:val="28"/>
            <w:szCs w:val="28"/>
          </w:rPr>
          <w:t>340</w:t>
        </w:r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>א</w:t>
        </w:r>
        <w:r>
          <w:rPr>
            <w:rStyle w:val="Hyperlink"/>
            <w:rFonts w:cs="FrankRuehl" w:ascii="FrankRuehl" w:hAnsi="FrankRuehl"/>
            <w:sz w:val="28"/>
            <w:szCs w:val="28"/>
            <w:rtl w:val="true"/>
          </w:rPr>
          <w:t>(</w:t>
        </w:r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>א</w:t>
        </w:r>
        <w:r>
          <w:rPr>
            <w:rStyle w:val="Hyperlink"/>
            <w:rFonts w:cs="FrankRuehl" w:ascii="FrankRuehl" w:hAnsi="FrankRuehl"/>
            <w:sz w:val="28"/>
            <w:szCs w:val="28"/>
            <w:rtl w:val="true"/>
          </w:rPr>
          <w:t>)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</w:t>
      </w:r>
      <w:hyperlink r:id="rId8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חוק העונשין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תשל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ז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cs="FrankRuehl" w:ascii="FrankRuehl" w:hAnsi="FrankRuehl"/>
          <w:sz w:val="28"/>
          <w:szCs w:val="28"/>
        </w:rPr>
        <w:t>1977</w:t>
      </w:r>
      <w:r>
        <w:rPr>
          <w:rFonts w:cs="FrankRuehl" w:ascii="FrankRuehl" w:hAnsi="FrankRuehl"/>
          <w:sz w:val="28"/>
          <w:szCs w:val="28"/>
          <w:rtl w:val="true"/>
        </w:rPr>
        <w:t xml:space="preserve"> 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להלן</w:t>
      </w:r>
      <w:r>
        <w:rPr>
          <w:rFonts w:cs="FrankRuehl" w:ascii="FrankRuehl" w:hAnsi="FrankRuehl"/>
          <w:sz w:val="28"/>
          <w:szCs w:val="28"/>
          <w:rtl w:val="true"/>
        </w:rPr>
        <w:t>: 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החוק</w:t>
      </w:r>
      <w:r>
        <w:rPr>
          <w:rFonts w:cs="FrankRuehl" w:ascii="FrankRuehl" w:hAnsi="FrankRuehl"/>
          <w:sz w:val="28"/>
          <w:szCs w:val="28"/>
          <w:rtl w:val="true"/>
        </w:rPr>
        <w:t xml:space="preserve">");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שתי עבירות של נשיאת נשק לפי </w:t>
      </w:r>
      <w:hyperlink r:id="rId9"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 xml:space="preserve">סעיף </w:t>
        </w:r>
        <w:r>
          <w:rPr>
            <w:rStyle w:val="Hyperlink"/>
            <w:rFonts w:cs="FrankRuehl" w:ascii="FrankRuehl" w:hAnsi="FrankRuehl"/>
            <w:sz w:val="28"/>
            <w:szCs w:val="28"/>
          </w:rPr>
          <w:t>144</w:t>
        </w:r>
        <w:r>
          <w:rPr>
            <w:rStyle w:val="Hyperlink"/>
            <w:rFonts w:cs="FrankRuehl" w:ascii="FrankRuehl" w:hAnsi="FrankRuehl"/>
            <w:sz w:val="28"/>
            <w:szCs w:val="28"/>
            <w:rtl w:val="true"/>
          </w:rPr>
          <w:t>(</w:t>
        </w:r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>ב</w:t>
        </w:r>
        <w:r>
          <w:rPr>
            <w:rStyle w:val="Hyperlink"/>
            <w:rFonts w:cs="FrankRuehl" w:ascii="FrankRuehl" w:hAnsi="FrankRuehl"/>
            <w:sz w:val="28"/>
            <w:szCs w:val="28"/>
            <w:rtl w:val="true"/>
          </w:rPr>
          <w:t>)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רישא לחוק</w:t>
      </w:r>
      <w:r>
        <w:rPr>
          <w:rFonts w:cs="FrankRuehl" w:ascii="FrankRuehl" w:hAnsi="FrankRuehl"/>
          <w:sz w:val="28"/>
          <w:szCs w:val="28"/>
          <w:rtl w:val="true"/>
        </w:rPr>
        <w:t xml:space="preserve">;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עבירה של נשיאת תחמושת לפי </w:t>
      </w:r>
      <w:hyperlink r:id="rId10"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 xml:space="preserve">סעיף </w:t>
        </w:r>
        <w:r>
          <w:rPr>
            <w:rStyle w:val="Hyperlink"/>
            <w:rFonts w:cs="FrankRuehl" w:ascii="FrankRuehl" w:hAnsi="FrankRuehl"/>
            <w:sz w:val="28"/>
            <w:szCs w:val="28"/>
          </w:rPr>
          <w:t>144</w:t>
        </w:r>
        <w:r>
          <w:rPr>
            <w:rStyle w:val="Hyperlink"/>
            <w:rFonts w:cs="FrankRuehl" w:ascii="FrankRuehl" w:hAnsi="FrankRuehl"/>
            <w:sz w:val="28"/>
            <w:szCs w:val="28"/>
            <w:rtl w:val="true"/>
          </w:rPr>
          <w:t>(</w:t>
        </w:r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>ב</w:t>
        </w:r>
        <w:r>
          <w:rPr>
            <w:rStyle w:val="Hyperlink"/>
            <w:rFonts w:cs="FrankRuehl" w:ascii="FrankRuehl" w:hAnsi="FrankRuehl"/>
            <w:sz w:val="28"/>
            <w:szCs w:val="28"/>
            <w:rtl w:val="true"/>
          </w:rPr>
          <w:t>)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סיפא לחוק</w:t>
      </w:r>
      <w:r>
        <w:rPr>
          <w:rFonts w:cs="FrankRuehl" w:ascii="FrankRuehl" w:hAnsi="FrankRuehl"/>
          <w:sz w:val="28"/>
          <w:szCs w:val="28"/>
          <w:rtl w:val="true"/>
        </w:rPr>
        <w:t xml:space="preserve">;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שלוש עבירות של רכישת והחזקת תחמושת לפי </w:t>
      </w:r>
      <w:hyperlink r:id="rId11"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 xml:space="preserve">סעיף </w:t>
        </w:r>
        <w:r>
          <w:rPr>
            <w:rStyle w:val="Hyperlink"/>
            <w:rFonts w:cs="FrankRuehl" w:ascii="FrankRuehl" w:hAnsi="FrankRuehl"/>
            <w:sz w:val="28"/>
            <w:szCs w:val="28"/>
          </w:rPr>
          <w:t>144</w:t>
        </w:r>
        <w:r>
          <w:rPr>
            <w:rStyle w:val="Hyperlink"/>
            <w:rFonts w:cs="FrankRuehl" w:ascii="FrankRuehl" w:hAnsi="FrankRuehl"/>
            <w:sz w:val="28"/>
            <w:szCs w:val="28"/>
            <w:rtl w:val="true"/>
          </w:rPr>
          <w:t>(</w:t>
        </w:r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>א</w:t>
        </w:r>
        <w:r>
          <w:rPr>
            <w:rStyle w:val="Hyperlink"/>
            <w:rFonts w:cs="FrankRuehl" w:ascii="FrankRuehl" w:hAnsi="FrankRuehl"/>
            <w:sz w:val="28"/>
            <w:szCs w:val="28"/>
            <w:rtl w:val="true"/>
          </w:rPr>
          <w:t>)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סיפא לחוק</w:t>
      </w:r>
      <w:r>
        <w:rPr>
          <w:rFonts w:cs="FrankRuehl" w:ascii="FrankRuehl" w:hAnsi="FrankRuehl"/>
          <w:sz w:val="28"/>
          <w:szCs w:val="28"/>
          <w:rtl w:val="true"/>
        </w:rPr>
        <w:t xml:space="preserve">;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ועבירה של ניסיון רכישת אביזר נשק לפי </w:t>
      </w:r>
      <w:hyperlink r:id="rId12"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 xml:space="preserve">סעיף </w:t>
        </w:r>
        <w:r>
          <w:rPr>
            <w:rStyle w:val="Hyperlink"/>
            <w:rFonts w:cs="FrankRuehl" w:ascii="FrankRuehl" w:hAnsi="FrankRuehl"/>
            <w:sz w:val="28"/>
            <w:szCs w:val="28"/>
          </w:rPr>
          <w:t>144</w:t>
        </w:r>
        <w:r>
          <w:rPr>
            <w:rStyle w:val="Hyperlink"/>
            <w:rFonts w:cs="FrankRuehl" w:ascii="FrankRuehl" w:hAnsi="FrankRuehl"/>
            <w:sz w:val="28"/>
            <w:szCs w:val="28"/>
            <w:rtl w:val="true"/>
          </w:rPr>
          <w:t>(</w:t>
        </w:r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>א</w:t>
        </w:r>
        <w:r>
          <w:rPr>
            <w:rStyle w:val="Hyperlink"/>
            <w:rFonts w:cs="FrankRuehl" w:ascii="FrankRuehl" w:hAnsi="FrankRuehl"/>
            <w:sz w:val="28"/>
            <w:szCs w:val="28"/>
            <w:rtl w:val="true"/>
          </w:rPr>
          <w:t>)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סיפא יחד עם </w:t>
      </w:r>
      <w:hyperlink r:id="rId13"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 xml:space="preserve">סעיף </w:t>
        </w:r>
        <w:r>
          <w:rPr>
            <w:rStyle w:val="Hyperlink"/>
            <w:rFonts w:cs="FrankRuehl" w:ascii="FrankRuehl" w:hAnsi="FrankRuehl"/>
            <w:sz w:val="28"/>
            <w:szCs w:val="28"/>
          </w:rPr>
          <w:t>25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לחוק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  <w:tab/>
      </w:r>
      <w:bookmarkStart w:id="9" w:name="ABSTRACT_END"/>
      <w:bookmarkEnd w:id="9"/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b/>
          <w:bCs/>
          <w:sz w:val="28"/>
          <w:szCs w:val="28"/>
          <w:u w:val="single"/>
        </w:rPr>
      </w:pPr>
      <w:r>
        <w:rPr>
          <w:rFonts w:cs="FrankRuehl" w:ascii="FrankRuehl" w:hAnsi="FrankRuehl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>בכתב האישום המתוקן פורטו שישה אישומים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  <w:u w:val="single"/>
        </w:rPr>
      </w:pPr>
      <w:r>
        <w:rPr>
          <w:rFonts w:ascii="FrankRuehl" w:hAnsi="FrankRuehl" w:cs="FrankRuehl"/>
          <w:sz w:val="28"/>
          <w:sz w:val="28"/>
          <w:szCs w:val="28"/>
          <w:u w:val="single"/>
          <w:rtl w:val="true"/>
        </w:rPr>
        <w:t>האישום הראשון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 w:ascii="FrankRuehl" w:hAnsi="FrankRuehl"/>
          <w:sz w:val="28"/>
          <w:szCs w:val="28"/>
        </w:rPr>
        <w:t>2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בחודש אוקטובר בשנת </w:t>
      </w:r>
      <w:r>
        <w:rPr>
          <w:rFonts w:cs="FrankRuehl" w:ascii="FrankRuehl" w:hAnsi="FrankRuehl"/>
          <w:sz w:val="28"/>
          <w:szCs w:val="28"/>
        </w:rPr>
        <w:t>2020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השתתף הנאשם בחתונת אחיו של חברו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באולם הסמוך לירושלים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במהלך החתונה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לקח הנאשם מאדם אחר נשק מסוג </w:t>
      </w:r>
      <w:r>
        <w:rPr>
          <w:rFonts w:cs="FrankRuehl" w:ascii="FrankRuehl" w:hAnsi="FrankRuehl"/>
          <w:sz w:val="28"/>
          <w:szCs w:val="28"/>
        </w:rPr>
        <w:t>M16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עם מחסנית ותחמושת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הנאשם התרחק מהאולם למרחק של כ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cs="FrankRuehl" w:ascii="FrankRuehl" w:hAnsi="FrankRuehl"/>
          <w:sz w:val="28"/>
          <w:szCs w:val="28"/>
        </w:rPr>
        <w:t>40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מטר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וירה בנשק עשרה כדורים לכיוון מעלה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  <w:u w:val="single"/>
        </w:rPr>
      </w:pPr>
      <w:r>
        <w:rPr>
          <w:rFonts w:cs="FrankRuehl" w:ascii="FrankRuehl" w:hAnsi="FrankRuehl"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  <w:u w:val="single"/>
        </w:rPr>
      </w:pPr>
      <w:r>
        <w:rPr>
          <w:rFonts w:ascii="FrankRuehl" w:hAnsi="FrankRuehl" w:cs="FrankRuehl"/>
          <w:sz w:val="28"/>
          <w:sz w:val="28"/>
          <w:szCs w:val="28"/>
          <w:u w:val="single"/>
          <w:rtl w:val="true"/>
        </w:rPr>
        <w:t>האישום השני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3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במהלך שנת </w:t>
      </w:r>
      <w:r>
        <w:rPr>
          <w:rFonts w:cs="FrankRuehl" w:ascii="FrankRuehl" w:hAnsi="FrankRuehl"/>
          <w:sz w:val="28"/>
          <w:szCs w:val="28"/>
        </w:rPr>
        <w:t>2018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גמלה בליבו של הנאשם החלטה לבצע ירי מאקדח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לשם ציון הצלחת חברו במבחני הבגרות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לצורך האמור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רכש הנאשם </w:t>
      </w:r>
      <w:r>
        <w:rPr>
          <w:rFonts w:cs="FrankRuehl" w:ascii="FrankRuehl" w:hAnsi="FrankRuehl"/>
          <w:sz w:val="28"/>
          <w:szCs w:val="28"/>
        </w:rPr>
        <w:t>50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כדורי אקדח בתמורה ל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cs="FrankRuehl" w:ascii="FrankRuehl" w:hAnsi="FrankRuehl"/>
          <w:sz w:val="28"/>
          <w:szCs w:val="28"/>
        </w:rPr>
        <w:t>500</w:t>
      </w:r>
      <w:r>
        <w:rPr>
          <w:rFonts w:cs="FrankRuehl" w:ascii="FrankRuehl" w:hAnsi="FrankRuehl"/>
          <w:sz w:val="28"/>
          <w:szCs w:val="28"/>
          <w:rtl w:val="true"/>
        </w:rPr>
        <w:t xml:space="preserve"> ₪,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וכן קיבל לידו אקדח מבן דודו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  <w:u w:val="single"/>
        </w:rPr>
      </w:pPr>
      <w:r>
        <w:rPr>
          <w:rFonts w:ascii="FrankRuehl" w:hAnsi="FrankRuehl" w:cs="FrankRuehl"/>
          <w:sz w:val="28"/>
          <w:sz w:val="28"/>
          <w:szCs w:val="28"/>
          <w:u w:val="single"/>
          <w:rtl w:val="true"/>
        </w:rPr>
        <w:t>האישום השלישי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4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בחודש מאי בשנת </w:t>
      </w:r>
      <w:r>
        <w:rPr>
          <w:rFonts w:cs="FrankRuehl" w:ascii="FrankRuehl" w:hAnsi="FrankRuehl"/>
          <w:sz w:val="28"/>
          <w:szCs w:val="28"/>
        </w:rPr>
        <w:t>2020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גמלה בליבו של הנאשם החלטה לבצע ירי מאקדח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לשם ציון הצלחת אחיו במבחני הבגרות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לצורך האמור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נסע הנאשם למחנה פליטים שועפאט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שם רכש </w:t>
      </w:r>
      <w:r>
        <w:rPr>
          <w:rFonts w:cs="FrankRuehl" w:ascii="FrankRuehl" w:hAnsi="FrankRuehl"/>
          <w:sz w:val="28"/>
          <w:szCs w:val="28"/>
        </w:rPr>
        <w:t>50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כדורי אקדח בתמורה ל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cs="FrankRuehl" w:ascii="FrankRuehl" w:hAnsi="FrankRuehl"/>
          <w:sz w:val="28"/>
          <w:szCs w:val="28"/>
        </w:rPr>
        <w:t>800</w:t>
      </w:r>
      <w:r>
        <w:rPr>
          <w:rFonts w:cs="FrankRuehl" w:ascii="FrankRuehl" w:hAnsi="FrankRuehl"/>
          <w:sz w:val="28"/>
          <w:szCs w:val="28"/>
          <w:rtl w:val="true"/>
        </w:rPr>
        <w:t xml:space="preserve"> ₪.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הנאשם לא ביצע את הירי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מאחר שאחיו לא צלח את מבחני הבגרות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והמשיך להחזיק את הכדורים בביתו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  <w:u w:val="single"/>
        </w:rPr>
      </w:pPr>
      <w:r>
        <w:rPr>
          <w:rFonts w:ascii="FrankRuehl" w:hAnsi="FrankRuehl" w:cs="FrankRuehl"/>
          <w:sz w:val="28"/>
          <w:sz w:val="28"/>
          <w:szCs w:val="28"/>
          <w:u w:val="single"/>
          <w:rtl w:val="true"/>
        </w:rPr>
        <w:t>האישום הרביעי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 w:ascii="FrankRuehl" w:hAnsi="FrankRuehl"/>
          <w:sz w:val="28"/>
          <w:szCs w:val="28"/>
        </w:rPr>
        <w:t>5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>בעקבות סכסוך משפחתי של משפחת הנאשם עם משפחה אחרת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במהלך אוקטובר </w:t>
      </w:r>
      <w:r>
        <w:rPr>
          <w:rFonts w:cs="FrankRuehl" w:ascii="FrankRuehl" w:hAnsi="FrankRuehl"/>
          <w:sz w:val="28"/>
          <w:szCs w:val="28"/>
        </w:rPr>
        <w:t>2020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פנה הנאשם למי ממכריו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וביקש לרכוש עבורו שש מחסניות לנשק מסוג </w:t>
      </w:r>
      <w:r>
        <w:rPr>
          <w:rFonts w:cs="FrankRuehl" w:ascii="FrankRuehl" w:hAnsi="FrankRuehl"/>
          <w:sz w:val="28"/>
          <w:szCs w:val="28"/>
        </w:rPr>
        <w:t>M16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לאחר משא ומתן על מחיר המחסניות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חזר בו הנאשם מהכוונה לרכשן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זאת לנוכח גובה המחיר הנדרש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u w:val="single"/>
          <w:rtl w:val="true"/>
        </w:rPr>
        <w:t>האישום החמישי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 w:ascii="FrankRuehl" w:hAnsi="FrankRuehl"/>
          <w:sz w:val="28"/>
          <w:szCs w:val="28"/>
        </w:rPr>
        <w:t>6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במהלך שנת </w:t>
      </w:r>
      <w:r>
        <w:rPr>
          <w:rFonts w:cs="FrankRuehl" w:ascii="FrankRuehl" w:hAnsi="FrankRuehl"/>
          <w:sz w:val="28"/>
          <w:szCs w:val="28"/>
        </w:rPr>
        <w:t>2017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התגלע סכסוך בין משפחת הנאשם לבין משפחה אחרת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שהעריך כי בקרוב יתפתח אירוע אלים בין שתי המשפחות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לקח מבן משפחתו תיק עם נשק חמוש ומוכן לירי מסוג </w:t>
      </w:r>
      <w:r>
        <w:rPr>
          <w:rFonts w:cs="FrankRuehl" w:ascii="FrankRuehl" w:hAnsi="FrankRuehl"/>
          <w:sz w:val="28"/>
          <w:szCs w:val="28"/>
        </w:rPr>
        <w:t>M16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והחזיק בו במשך כחצי שעה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וזאת על מנת לעשות בו שימוש במהלך הסכסוך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לבסוף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הוכרזה פגישת פיוס בין המשפחות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ולא נעשה בנשק שימוש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  <w:u w:val="single"/>
        </w:rPr>
      </w:pPr>
      <w:r>
        <w:rPr>
          <w:rFonts w:ascii="FrankRuehl" w:hAnsi="FrankRuehl" w:cs="FrankRuehl"/>
          <w:sz w:val="28"/>
          <w:sz w:val="28"/>
          <w:szCs w:val="28"/>
          <w:u w:val="single"/>
          <w:rtl w:val="true"/>
        </w:rPr>
        <w:t>האישום השישי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 w:ascii="FrankRuehl" w:hAnsi="FrankRuehl"/>
          <w:sz w:val="28"/>
          <w:szCs w:val="28"/>
        </w:rPr>
        <w:t>7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במהלך שנת </w:t>
      </w:r>
      <w:r>
        <w:rPr>
          <w:rFonts w:cs="FrankRuehl" w:ascii="FrankRuehl" w:hAnsi="FrankRuehl"/>
          <w:sz w:val="28"/>
          <w:szCs w:val="28"/>
        </w:rPr>
        <w:t>2017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קיבל הנאשם לידו שרשרת כדורי נשק מסוג </w:t>
      </w:r>
      <w:r>
        <w:rPr>
          <w:rFonts w:cs="FrankRuehl" w:ascii="FrankRuehl" w:hAnsi="FrankRuehl"/>
          <w:sz w:val="28"/>
          <w:szCs w:val="28"/>
        </w:rPr>
        <w:t>M16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להחזקת קבע וללא תמורה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בהמשך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מסר הנאשם את שרשרת הכדורים לבן משפחתו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להחזקת קבע וללא תמורה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b/>
          <w:bCs/>
          <w:sz w:val="28"/>
          <w:szCs w:val="28"/>
          <w:u w:val="single"/>
        </w:rPr>
      </w:pPr>
      <w:r>
        <w:rPr>
          <w:rFonts w:cs="FrankRuehl" w:ascii="FrankRuehl" w:hAnsi="FrankRuehl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>יצוין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כי הנאשם לא היה בעל רישיון לנשק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ומעולם לא החזיק ברישיון שכזה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b/>
          <w:bCs/>
          <w:sz w:val="28"/>
          <w:szCs w:val="28"/>
          <w:u w:val="single"/>
        </w:rPr>
      </w:pPr>
      <w:r>
        <w:rPr>
          <w:rFonts w:cs="FrankRuehl" w:ascii="FrankRuehl" w:hAnsi="FrankRuehl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b/>
          <w:bCs/>
          <w:sz w:val="28"/>
          <w:szCs w:val="28"/>
          <w:u w:val="single"/>
        </w:rPr>
      </w:pPr>
      <w:r>
        <w:rPr>
          <w:rFonts w:ascii="FrankRuehl" w:hAnsi="FrankRuehl" w:cs="FrankRuehl"/>
          <w:b/>
          <w:b/>
          <w:bCs/>
          <w:sz w:val="28"/>
          <w:sz w:val="28"/>
          <w:szCs w:val="28"/>
          <w:u w:val="single"/>
          <w:rtl w:val="true"/>
        </w:rPr>
        <w:t>תסקיר שירות המבחן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8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הוגש תסקיר שירות המבחן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ממנו נלמד אודות נסיבות חייו של הנאשם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בין היתר עלה כי הנאשם הינו בחור צעיר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נעדר הרשעות קודמות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בהיותו כבן </w:t>
      </w:r>
      <w:r>
        <w:rPr>
          <w:rFonts w:cs="FrankRuehl" w:ascii="FrankRuehl" w:hAnsi="FrankRuehl"/>
          <w:sz w:val="28"/>
          <w:szCs w:val="28"/>
        </w:rPr>
        <w:t>12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הנאשם נפגע בעינו בשעה שעבד לאחר שעות הלימודים בבית ספר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וכתוצאה מכך איבד את הראייה באחת מעיניו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קשיי ההסתגלות שהתלוו לפגיעה והרצון לעבוד ולסייע למשפחתו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הובילו לנשירתו מהלימודים והשתלבותו בעבודה בתחום הבניין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9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>באשר ליחסו של הנאשם לעבירות בהן הורשע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ציינה קצינת המבחן את התרשמותה כי הנאשם נטה להתייחס בצורה פשטנית למעשיו ולספק להם הסברים קונקרטיים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הוא התקשה להבין לעומק את רמת הסיכון הנשקפת ממעשיו ומהשלכותיהם האפשריות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עם זאת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ציינה קצינת המבחן כי התרשמה שמעצרו של הנאשם וההליך השיפוטי שעבר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מהווים גורם מרתיע ומציבים גבול להתנהגותו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הנאשם ציין בפניה כי עם סיום ההליך המשפטי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בכוונתו לחזור לעבודה מסודרת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ולהמשיך לסייע לכלכלת המשפחה תוך הימנעות מקשרים בעייתיים</w:t>
      </w:r>
      <w:r>
        <w:rPr>
          <w:rFonts w:cs="FrankRuehl" w:ascii="FrankRuehl" w:hAnsi="FrankRuehl"/>
          <w:sz w:val="28"/>
          <w:szCs w:val="28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10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>בנוגע לגורמי סיכון לעבריינות וגורמי סיכוי לשיקום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ציינה קצינת המבחן כי הרקע בו גדל הנאשם הוביל לאימוץ ערכים ודפוסי התנהגות בעייתיים ותוקפניים כדרך לחוות כוח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המהווים גורמי סיכון להישנות התנהגות פוגענית בעתיד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לצד זאת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היא ציינה כי לנאשם יכולת לתפקוד תקין ויציב במישור התעסוקתי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וכי הוא מגלה רגישות ואמפתיה כלפי הגורמים המשמעותיים בחייו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11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>בשולי התסקיר ציינה קצינת המבחן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כי הנאשם גילה נכונות ראשונית לערוך שינוי בחייו ולהשתלב בטיפול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אך נכונות זאת נובעת מתוך הבנת המחירים שעתיד לשלם בגין התנהלותו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ופחות מתוך המודעות לצורך לערוך שינוי ממשי בדפוסיו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בשים לב לכך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נמנעה קצינת המבחן מהמלצה טיפולית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לצד המלצה כי בקביעת גובה העונש תילקח בחשבון תקופת מעצרו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המאפיינים האישיותיים שתוארו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והשפעה אפשרית של עונש מאסר ממושך על מצבו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b/>
          <w:bCs/>
          <w:sz w:val="28"/>
          <w:szCs w:val="28"/>
          <w:u w:val="single"/>
        </w:rPr>
      </w:pPr>
      <w:r>
        <w:rPr>
          <w:rFonts w:cs="FrankRuehl" w:ascii="FrankRuehl" w:hAnsi="FrankRuehl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b/>
          <w:bCs/>
          <w:sz w:val="28"/>
          <w:szCs w:val="28"/>
          <w:u w:val="single"/>
        </w:rPr>
      </w:pPr>
      <w:r>
        <w:rPr>
          <w:rFonts w:cs="FrankRuehl" w:ascii="FrankRuehl" w:hAnsi="FrankRuehl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b/>
          <w:bCs/>
          <w:sz w:val="28"/>
          <w:szCs w:val="28"/>
          <w:u w:val="single"/>
        </w:rPr>
      </w:pPr>
      <w:r>
        <w:rPr>
          <w:rFonts w:ascii="FrankRuehl" w:hAnsi="FrankRuehl" w:cs="FrankRuehl"/>
          <w:b/>
          <w:b/>
          <w:bCs/>
          <w:sz w:val="28"/>
          <w:sz w:val="28"/>
          <w:szCs w:val="28"/>
          <w:u w:val="single"/>
          <w:rtl w:val="true"/>
        </w:rPr>
        <w:t>טיעוני ב</w:t>
      </w:r>
      <w:r>
        <w:rPr>
          <w:rFonts w:cs="FrankRuehl" w:ascii="FrankRuehl" w:hAnsi="FrankRuehl"/>
          <w:b/>
          <w:bCs/>
          <w:sz w:val="28"/>
          <w:szCs w:val="28"/>
          <w:u w:val="single"/>
          <w:rtl w:val="true"/>
        </w:rPr>
        <w:t>"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u w:val="single"/>
          <w:rtl w:val="true"/>
        </w:rPr>
        <w:t>כ הצדדים לעונש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12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>בטיעוניו לעונש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עמד ב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 המאשימה על כך שכל אחד מהאישומים מהווה אירוע בפני עצמו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וכי יש לקבוע מתחם עונש הולם לכל אירוע בהתייחס למעשים שביצע הנאשם בהיותו בגיר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ומתחם אחד למעשים שבוצעו על ידי הנאשם בהיותו קטין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13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>ב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 המאשימה עמד על כך שריבוי העבירות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הגיוון שלהם ומשך הזמן בו נעשו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מלמדים על מעורבות ונגישות של הנאשם לסוגים שונים של כלי נשק ותחמושת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בנוסף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הדגיש ב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 המאשימה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כי הייתה נכונות מצד הנאשם להשתמש בנשק לצורך מעשים אלימים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מלבד לצורך ירי של שמחה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 המאשימה הדגיש בטיעוניו את חומרת המעשים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חומרתם עבירות הנשק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ואת הצורך בהחמרת הענישה לצורך הרתעת הרבים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במיוחד בעת האחרונה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לאור העלייה בעבירות האלימות שמבוצעות בנשק חם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 w:ascii="FrankRuehl" w:hAnsi="FrankRuehl"/>
          <w:sz w:val="28"/>
          <w:szCs w:val="28"/>
        </w:rPr>
        <w:t>14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>אשר לעונש המתאים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טען ב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כ המאשימה כי בנוגע לעבירות הפחותות שעניינן רכישת תחמושת וירי מנשק חם שלא כוללות נשיאת נשק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האישום הראשון והשלישי</w:t>
      </w:r>
      <w:r>
        <w:rPr>
          <w:rFonts w:cs="FrankRuehl" w:ascii="FrankRuehl" w:hAnsi="FrankRuehl"/>
          <w:sz w:val="28"/>
          <w:szCs w:val="28"/>
          <w:rtl w:val="true"/>
        </w:rPr>
        <w:t xml:space="preserve">),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העונש הראוי לכל אחד מהאירועים הינו עד </w:t>
      </w:r>
      <w:r>
        <w:rPr>
          <w:rFonts w:cs="FrankRuehl" w:ascii="FrankRuehl" w:hAnsi="FrankRuehl"/>
          <w:sz w:val="28"/>
          <w:szCs w:val="28"/>
        </w:rPr>
        <w:t>12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חודשי מאסר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ביחס לעבירה שעניינה החזקת תחמושת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האישום השישי</w:t>
      </w:r>
      <w:r>
        <w:rPr>
          <w:rFonts w:cs="FrankRuehl" w:ascii="FrankRuehl" w:hAnsi="FrankRuehl"/>
          <w:sz w:val="28"/>
          <w:szCs w:val="28"/>
          <w:rtl w:val="true"/>
        </w:rPr>
        <w:t xml:space="preserve">),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נטען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כי המתחם נע בין </w:t>
      </w:r>
      <w:r>
        <w:rPr>
          <w:rFonts w:cs="FrankRuehl" w:ascii="FrankRuehl" w:hAnsi="FrankRuehl"/>
          <w:sz w:val="28"/>
          <w:szCs w:val="28"/>
        </w:rPr>
        <w:t>6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חודשי עבודות שירות עד ל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cs="FrankRuehl" w:ascii="FrankRuehl" w:hAnsi="FrankRuehl"/>
          <w:sz w:val="28"/>
          <w:szCs w:val="28"/>
        </w:rPr>
        <w:t>6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חודשי מאסר בפועל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לגבי נשיאת האקדח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האישום השני</w:t>
      </w:r>
      <w:r>
        <w:rPr>
          <w:rFonts w:cs="FrankRuehl" w:ascii="FrankRuehl" w:hAnsi="FrankRuehl"/>
          <w:sz w:val="28"/>
          <w:szCs w:val="28"/>
          <w:rtl w:val="true"/>
        </w:rPr>
        <w:t xml:space="preserve">),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נטען כי המתחם נע בין שנה וחצי ועד ל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cs="FrankRuehl" w:ascii="FrankRuehl" w:hAnsi="FrankRuehl"/>
          <w:sz w:val="28"/>
          <w:szCs w:val="28"/>
        </w:rPr>
        <w:t>4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שנים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לגבי נשיאת הנשק מסוג </w:t>
      </w:r>
      <w:r>
        <w:rPr>
          <w:rFonts w:cs="FrankRuehl" w:ascii="FrankRuehl" w:hAnsi="FrankRuehl"/>
          <w:sz w:val="28"/>
          <w:szCs w:val="28"/>
        </w:rPr>
        <w:t>M16</w:t>
      </w:r>
      <w:r>
        <w:rPr>
          <w:rFonts w:cs="FrankRuehl" w:ascii="FrankRuehl" w:hAnsi="FrankRuehl"/>
          <w:sz w:val="28"/>
          <w:szCs w:val="28"/>
          <w:rtl w:val="true"/>
        </w:rPr>
        <w:t xml:space="preserve"> 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האישום החמישי</w:t>
      </w:r>
      <w:r>
        <w:rPr>
          <w:rFonts w:cs="FrankRuehl" w:ascii="FrankRuehl" w:hAnsi="FrankRuehl"/>
          <w:sz w:val="28"/>
          <w:szCs w:val="28"/>
          <w:rtl w:val="true"/>
        </w:rPr>
        <w:t xml:space="preserve">),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לנוכח חומרה יתרה בשל הנסיבות של הצטיידות לצורך סכסוך משפחתי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ביקש ב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כ המאשימה לקבוע מתחם הנע בין </w:t>
      </w:r>
      <w:r>
        <w:rPr>
          <w:rFonts w:cs="FrankRuehl" w:ascii="FrankRuehl" w:hAnsi="FrankRuehl"/>
          <w:sz w:val="28"/>
          <w:szCs w:val="28"/>
        </w:rPr>
        <w:t>2.5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</w:t>
      </w:r>
      <w:r>
        <w:rPr>
          <w:rFonts w:cs="FrankRuehl" w:ascii="FrankRuehl" w:hAnsi="FrankRuehl"/>
          <w:sz w:val="28"/>
          <w:szCs w:val="28"/>
          <w:rtl w:val="true"/>
        </w:rPr>
        <w:t xml:space="preserve">- </w:t>
      </w:r>
      <w:r>
        <w:rPr>
          <w:rFonts w:cs="FrankRuehl" w:ascii="FrankRuehl" w:hAnsi="FrankRuehl"/>
          <w:sz w:val="28"/>
          <w:szCs w:val="28"/>
        </w:rPr>
        <w:t>4.5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שנות מאסר בפועל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15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>למיקומו של העונש של הנאשם בתוך המתחם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ביקש ב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 המאשימה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נוכח גילוי הצעיר של הנאשם ולקיחת האחריות למעשיו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לגזור על מכלול המעשים עונש של </w:t>
      </w:r>
      <w:r>
        <w:rPr>
          <w:rFonts w:cs="FrankRuehl" w:ascii="FrankRuehl" w:hAnsi="FrankRuehl"/>
          <w:sz w:val="28"/>
          <w:szCs w:val="28"/>
        </w:rPr>
        <w:t>4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שנות מאסר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לצד עונש של מאסר על תנאי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 w:ascii="FrankRuehl" w:hAnsi="FrankRuehl"/>
          <w:sz w:val="28"/>
          <w:szCs w:val="28"/>
        </w:rPr>
        <w:t>16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>מנגד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 הנאשם ציינה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ביחס לנסיבות ביצוע העבירות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כי באישום הראשון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הירי לא נועד לפגוע והוא בוצע רחוק מאנשים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באישום השני הנאשם היה קטין בן </w:t>
      </w:r>
      <w:r>
        <w:rPr>
          <w:rFonts w:cs="FrankRuehl" w:ascii="FrankRuehl" w:hAnsi="FrankRuehl"/>
          <w:sz w:val="28"/>
          <w:szCs w:val="28"/>
        </w:rPr>
        <w:t>17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כך גם באישום החמישי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הנאשם היה קטין כבן </w:t>
      </w:r>
      <w:r>
        <w:rPr>
          <w:rFonts w:cs="FrankRuehl" w:ascii="FrankRuehl" w:hAnsi="FrankRuehl"/>
          <w:sz w:val="28"/>
          <w:szCs w:val="28"/>
        </w:rPr>
        <w:t>16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לדבריה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בכל הנוגע לאישום זה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החמישי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הרי שבן משפחתו של הנאשם מסר לו תיק וציין בפניו שיש בו נזק מסוג </w:t>
      </w:r>
      <w:r>
        <w:rPr>
          <w:rFonts w:cs="FrankRuehl" w:ascii="FrankRuehl" w:hAnsi="FrankRuehl"/>
          <w:sz w:val="28"/>
          <w:szCs w:val="28"/>
        </w:rPr>
        <w:t>M16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אך הוא כלל לא בדק זאת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כך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שלמעשה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לא ניתן לדעת מה הכיל התיק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מאחר והתיק לא נפתח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וגורמים נוספים המעורבים בפרשה לא נחקרו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 הנאשם הוסיפה כי תקופת ההחזקה בנשק הייתה קצרה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וכי לא נגרם כל נזק בגין החזקה זו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כן ציינה ב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 הנאשם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כי בכל האישומים לא נתפס נשק ולא נתפסה תחמושת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כשהראייה היחידה הקושרת את הנאשם לעבירות היא הודאתו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ויש לתת לכך משקל משמעותי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היא הוסיפה כי הנאשם אינו מחזיק בנשק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וכי המעורבים שלא נעצרו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הם אלו שמסכנים את הציבור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17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>בנוגע למתחם הענישה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 הנאשם טענה כי מדיניות הענישה מגוונת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ותלויה בנסיבות כל מקרה ומקרה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לשיטתה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מתחם הענישה ההולם מקרה זה בנסיבותיו נע בין </w:t>
      </w:r>
      <w:r>
        <w:rPr>
          <w:rFonts w:cs="FrankRuehl" w:ascii="FrankRuehl" w:hAnsi="FrankRuehl"/>
          <w:sz w:val="28"/>
          <w:szCs w:val="28"/>
        </w:rPr>
        <w:t>7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cs="FrankRuehl" w:ascii="FrankRuehl" w:hAnsi="FrankRuehl"/>
          <w:sz w:val="28"/>
          <w:szCs w:val="28"/>
        </w:rPr>
        <w:t>18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חודשי מאסר בפועל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כשהיא מבקשת לקבוע מתחם אחד לכל האישומים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כן עתרה לגזירת עונש הסוטה מהמתחם לקולא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לאור אי חקירת גורמים מעורבים נוספים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חקירתו של הנאשם בשב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ומניעת המפגש עם עורך הדין במשך עשרה ימים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ביחס לעבירות האמורות בכתב האישום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ציינה ב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 הנאשם כי נשיאת נשק ללא מטרה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ועבירה של נשיאת נשק או תחמושת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מצויות ברף התחתון של עבירות הנשק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וכי לאור העדר עברו הפלילי של הנאשם והיותו קטין בזמן חלק מהאישומים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ישנה הצדקה להקלה בעונשו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18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>בהתייחס לנאשם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הדגישה ב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 הנאשם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כי הנאשם הפנים את חומרת מעשיו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הוא לקח אחריות מלאה עליהם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והוא הביע תחושות חרטה על הפגיעה במשפחתו והרחקתו ממנה מזה שבעה חודשים מעת מעצרו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לדבריה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ההליך הפלילי היווה גורם מרתיע והציב גבולות באופן חד משמעי לנאשם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כפי שהובא בתסקיר המבחן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19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>היא הוסיפה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כי זו פעם ראשונה בחייו של הנאשם שהוא מתמודד עם הליך פלילי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והדגישה כי הנאשם שיתף פעולה עם גורמי החקירה כבר מהמעצר וחקירתו הראשונה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לרבות מסירת הטלפון הסלולרי לידי החוקרים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לדבריה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יש בדבר כדי להעיד על אישיותו ותמימותו של הנאשם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20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>ב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 הנאשם הזכירה את נסיבות חייו של הנאשם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הכוללות את גירושם של הוריו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איבוד הראייה בעין ימין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וסיום הלימודים בבית הספר לאחר שנות לימוד בודדות בכדי לפרנס את משפחתו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שפגעו בהתפתחותו התקינה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היא הפנתה לתסקיר שירות המבחן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בו ציינה קצינת המבחן את התרשמותה כי מעצרו וההליך שעבר היוו עבור הנאשם גורם מרתיע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וכי לנאשם כוונה לחזור לעבודה מסודרת ולכלכל את משפחתו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21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>ב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 הנאשם הוסיפה וטענה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כי בגזירת דינו של הנאשם יש לקחת בחשבון כי מעורבים נוספים שסיפקו את כלי הנשק והתחמושת ושזהותם ידועה למאשימה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נעצרו לזמן קצר ושוחררו ללא שהוגש כתב אישום בעניינם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לטענתה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מדובר בפגם שהיה עשוי להוביל אף לביטול כתב האישום כנגד הנאשם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ויש לתת משקל לפגם זה בגזירת הדין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22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>בנסיבות אלה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ביקשה ב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 הנאשם כי בית המשפט יסתפק בתקופת המעצר בת שבעה חודשים ויטיל על הנאשם ענישה צופה פני עתיד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לתמיכה בטענותיה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צירפה ב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 הנאשם פסיקה בנסיבות דומות בה הוטלו עונשים במתחם האמור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 w:ascii="FrankRuehl" w:hAnsi="FrankRuehl"/>
          <w:sz w:val="28"/>
          <w:szCs w:val="28"/>
        </w:rPr>
        <w:t>23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בתשובה לטענות בדבר אכיפה בררנית ציינה המאשימה כי אכן שניים שנזכרו בכתב האישום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איוב ובאסל עבאסי הנזכרים באישומים השני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השלישי החמישי והשישי כמי שמסרו 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נאשם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את הנשק או את התחמושת</w:t>
      </w:r>
      <w:r>
        <w:rPr>
          <w:rFonts w:cs="FrankRuehl" w:ascii="FrankRuehl" w:hAnsi="FrankRuehl"/>
          <w:sz w:val="28"/>
          <w:szCs w:val="28"/>
          <w:rtl w:val="true"/>
        </w:rPr>
        <w:t>,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או כמי שתיווכו בינו לבין מי שס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פק לנאשם את התחמושת</w:t>
      </w:r>
      <w:r>
        <w:rPr>
          <w:rFonts w:cs="FrankRuehl" w:ascii="FrankRuehl" w:hAnsi="FrankRuehl"/>
          <w:sz w:val="28"/>
          <w:szCs w:val="28"/>
          <w:rtl w:val="true"/>
        </w:rPr>
        <w:t xml:space="preserve">)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הוכרזו כדרושים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חקירה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ואולם על אף שהם נחקרו לאחר מכן בחשד לעבירות אחרות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הם לא נחקרו בקשר לחשדות שהעלה כנגדם הנאשם בחקירתו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בשל תקלה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לדבריה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בשל כך היא הסכימה לתיקון כתב האישום ואין מקום לתת לכך משקל נוסף בדמות הפחתה בעונש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מה גם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שהחשד כנגד אותם אנשים מבוסס לעת הזו רק על דברי הנאשם בחקירתו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באשר לחשוד אחד הנזכר באישום הרביעי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אליו פנה הנאשם כדי שישיג עבורו מחסניות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ציינה המאשימה כי הוא נחקר באזהרה והדיון בעניינו טרם הסתיים</w:t>
      </w:r>
      <w:r>
        <w:rPr>
          <w:rFonts w:cs="FrankRuehl" w:ascii="FrankRuehl" w:hAnsi="FrankRuehl"/>
          <w:sz w:val="28"/>
          <w:szCs w:val="28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24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הנאשם ציין כי הוא מתנצל בפני המדינה ובפני משפחתו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וכי הוא יודע שטעה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הוא הוסיף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כי תקופת מעצרו לימדה אותו לקח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וביקש מבית המשפט ליתן לו הזדמנות להתקדם בחיים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b/>
          <w:bCs/>
          <w:sz w:val="28"/>
          <w:szCs w:val="28"/>
          <w:u w:val="single"/>
        </w:rPr>
      </w:pPr>
      <w:r>
        <w:rPr>
          <w:rFonts w:ascii="FrankRuehl" w:hAnsi="FrankRuehl" w:cs="FrankRuehl"/>
          <w:b/>
          <w:b/>
          <w:bCs/>
          <w:sz w:val="28"/>
          <w:sz w:val="28"/>
          <w:szCs w:val="28"/>
          <w:u w:val="single"/>
          <w:rtl w:val="true"/>
        </w:rPr>
        <w:t>דיון והכרעה</w:t>
      </w:r>
    </w:p>
    <w:p>
      <w:pPr>
        <w:pStyle w:val="Normal"/>
        <w:spacing w:lineRule="auto" w:line="360" w:before="0" w:after="240"/>
        <w:ind w:end="0"/>
        <w:jc w:val="both"/>
        <w:rPr/>
      </w:pPr>
      <w:r>
        <w:rPr>
          <w:rFonts w:cs="FrankRuehl" w:ascii="FrankRuehl" w:hAnsi="FrankRuehl"/>
          <w:sz w:val="28"/>
          <w:szCs w:val="28"/>
        </w:rPr>
        <w:t>25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הערכים המוגנים בעבירות נשק הם שלמות הגוף וחיי אדם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שלום הציבור וביטחונו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למותר להכביר מילים באשר לסכנה הנשקפת מהחזקה ונשיאה של כלי נשק על ידי מי שאינם מורשים לכך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שלא למטרות ראויות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כגון הגנה על בטחון המדינה או על שלום אזרחיה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מדובר בכלי שהשימוש העיקרי בו הוא לצורך המתת אדם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גרימת פגיעה גופנית חמורה לאדם או איום בפגיעה כזו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פסיקה עקבית עומדת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כך ש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עבירות נשק לסוגיהן הן 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"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מכת מדינה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"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המשקפת סכנה חמורה ומיידית לביטחון הציבור ולשלומו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ו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על הצורך בענישה מחמירה בעבירות נשק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ובהעלאת רף הענישה בעבירות הנשק לסוגיהן 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(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ראו אך לדוגמה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: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hyperlink r:id="rId14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2761/21</w:t>
        </w:r>
      </w:hyperlink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color w:val="000000"/>
          <w:sz w:val="28"/>
          <w:sz w:val="28"/>
          <w:szCs w:val="28"/>
          <w:rtl w:val="true"/>
        </w:rPr>
        <w:t>עואלי נ</w:t>
      </w:r>
      <w:r>
        <w:rPr>
          <w:rFonts w:cs="FrankRuehl" w:ascii="FrankRuehl" w:hAnsi="FrankRuehl"/>
          <w:b/>
          <w:bCs/>
          <w:color w:val="000000"/>
          <w:sz w:val="28"/>
          <w:szCs w:val="28"/>
          <w:rtl w:val="true"/>
        </w:rPr>
        <w:t xml:space="preserve">' </w:t>
      </w:r>
      <w:r>
        <w:rPr>
          <w:rFonts w:ascii="FrankRuehl" w:hAnsi="FrankRuehl" w:cs="FrankRuehl"/>
          <w:b/>
          <w:b/>
          <w:bCs/>
          <w:color w:val="000000"/>
          <w:sz w:val="28"/>
          <w:sz w:val="28"/>
          <w:szCs w:val="28"/>
          <w:rtl w:val="true"/>
        </w:rPr>
        <w:t>מדינת ישראל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(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פורסם בנבו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 w:ascii="FrankRuehl" w:hAnsi="FrankRuehl"/>
          <w:color w:val="000000"/>
          <w:sz w:val="28"/>
          <w:szCs w:val="28"/>
        </w:rPr>
        <w:t>22.08.21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); </w:t>
      </w:r>
      <w:hyperlink r:id="rId15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4207/21</w:t>
        </w:r>
      </w:hyperlink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color w:val="000000"/>
          <w:sz w:val="28"/>
          <w:sz w:val="28"/>
          <w:szCs w:val="28"/>
          <w:rtl w:val="true"/>
        </w:rPr>
        <w:t>עמאר בעראני נורי נ</w:t>
      </w:r>
      <w:r>
        <w:rPr>
          <w:rFonts w:cs="FrankRuehl" w:ascii="FrankRuehl" w:hAnsi="FrankRuehl"/>
          <w:b/>
          <w:bCs/>
          <w:color w:val="000000"/>
          <w:sz w:val="28"/>
          <w:szCs w:val="28"/>
          <w:rtl w:val="true"/>
        </w:rPr>
        <w:t xml:space="preserve">' </w:t>
      </w:r>
      <w:r>
        <w:rPr>
          <w:rFonts w:ascii="FrankRuehl" w:hAnsi="FrankRuehl" w:cs="FrankRuehl"/>
          <w:b/>
          <w:b/>
          <w:bCs/>
          <w:color w:val="000000"/>
          <w:sz w:val="28"/>
          <w:sz w:val="28"/>
          <w:szCs w:val="28"/>
          <w:rtl w:val="true"/>
        </w:rPr>
        <w:t>מדינת ישראל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(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פורסם בנבו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 w:ascii="FrankRuehl" w:hAnsi="FrankRuehl"/>
          <w:color w:val="000000"/>
          <w:sz w:val="28"/>
          <w:szCs w:val="28"/>
        </w:rPr>
        <w:t>28.07.21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); </w:t>
      </w:r>
      <w:hyperlink r:id="rId16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3793/20</w:t>
        </w:r>
      </w:hyperlink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color w:val="000000"/>
          <w:sz w:val="28"/>
          <w:sz w:val="28"/>
          <w:szCs w:val="28"/>
          <w:rtl w:val="true"/>
        </w:rPr>
        <w:t>מורייחי נ</w:t>
      </w:r>
      <w:r>
        <w:rPr>
          <w:rFonts w:cs="FrankRuehl" w:ascii="FrankRuehl" w:hAnsi="FrankRuehl"/>
          <w:b/>
          <w:bCs/>
          <w:color w:val="000000"/>
          <w:sz w:val="28"/>
          <w:szCs w:val="28"/>
          <w:rtl w:val="true"/>
        </w:rPr>
        <w:t xml:space="preserve">' </w:t>
      </w:r>
      <w:r>
        <w:rPr>
          <w:rFonts w:ascii="FrankRuehl" w:hAnsi="FrankRuehl" w:cs="FrankRuehl"/>
          <w:b/>
          <w:b/>
          <w:bCs/>
          <w:color w:val="000000"/>
          <w:sz w:val="28"/>
          <w:sz w:val="28"/>
          <w:szCs w:val="28"/>
          <w:rtl w:val="true"/>
        </w:rPr>
        <w:t>מדינת ישראל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(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פורסם בנבו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 w:ascii="FrankRuehl" w:hAnsi="FrankRuehl"/>
          <w:color w:val="000000"/>
          <w:sz w:val="28"/>
          <w:szCs w:val="28"/>
        </w:rPr>
        <w:t>23.11.20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);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הצורך בענישה מחמירה בעבירות נשק הוא חיוני גם בעבירות של החזקת נשק שלא כדין שלא לוו בעבירות נוספות 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(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ראו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: </w:t>
      </w:r>
      <w:hyperlink r:id="rId17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5330/20</w:t>
        </w:r>
      </w:hyperlink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color w:val="000000"/>
          <w:sz w:val="28"/>
          <w:sz w:val="28"/>
          <w:szCs w:val="28"/>
          <w:rtl w:val="true"/>
        </w:rPr>
        <w:t>ענבתאוי נ</w:t>
      </w:r>
      <w:r>
        <w:rPr>
          <w:rFonts w:cs="FrankRuehl" w:ascii="FrankRuehl" w:hAnsi="FrankRuehl"/>
          <w:b/>
          <w:bCs/>
          <w:color w:val="000000"/>
          <w:sz w:val="28"/>
          <w:szCs w:val="28"/>
          <w:rtl w:val="true"/>
        </w:rPr>
        <w:t xml:space="preserve">' </w:t>
      </w:r>
      <w:r>
        <w:rPr>
          <w:rFonts w:ascii="FrankRuehl" w:hAnsi="FrankRuehl" w:cs="FrankRuehl"/>
          <w:b/>
          <w:b/>
          <w:bCs/>
          <w:color w:val="000000"/>
          <w:sz w:val="28"/>
          <w:sz w:val="28"/>
          <w:szCs w:val="28"/>
          <w:rtl w:val="true"/>
        </w:rPr>
        <w:t>מדינת ישראל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(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פורסם בנבו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 w:ascii="FrankRuehl" w:hAnsi="FrankRuehl"/>
          <w:color w:val="000000"/>
          <w:sz w:val="28"/>
          <w:szCs w:val="28"/>
        </w:rPr>
        <w:t>22.11.20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)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; </w:t>
      </w:r>
      <w:hyperlink r:id="rId18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4406/19</w:t>
        </w:r>
      </w:hyperlink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color w:val="000000"/>
          <w:sz w:val="28"/>
          <w:sz w:val="28"/>
          <w:szCs w:val="28"/>
          <w:rtl w:val="true"/>
        </w:rPr>
        <w:t>מדינת ישראל נ</w:t>
      </w:r>
      <w:r>
        <w:rPr>
          <w:rFonts w:cs="FrankRuehl" w:ascii="FrankRuehl" w:hAnsi="FrankRuehl"/>
          <w:b/>
          <w:bCs/>
          <w:color w:val="000000"/>
          <w:sz w:val="28"/>
          <w:szCs w:val="28"/>
          <w:rtl w:val="true"/>
        </w:rPr>
        <w:t xml:space="preserve">' </w:t>
      </w:r>
      <w:r>
        <w:rPr>
          <w:rFonts w:ascii="FrankRuehl" w:hAnsi="FrankRuehl" w:cs="FrankRuehl"/>
          <w:b/>
          <w:b/>
          <w:bCs/>
          <w:color w:val="000000"/>
          <w:sz w:val="28"/>
          <w:sz w:val="28"/>
          <w:szCs w:val="28"/>
          <w:rtl w:val="true"/>
        </w:rPr>
        <w:t>סובח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(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פורסם בנבו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 w:ascii="FrankRuehl" w:hAnsi="FrankRuehl"/>
          <w:color w:val="000000"/>
          <w:sz w:val="28"/>
          <w:szCs w:val="28"/>
        </w:rPr>
        <w:t>5.11.19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)).</w:t>
      </w:r>
      <w:r>
        <w:rPr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בשל חומרה זו של עבירות אלו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נקבע כי יש לתת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משקל רב יותר לאינטרס הציבורי ולשיקולי ההרתעה מאשר לנסיבותיו האישיות של הנאשם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(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ראו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: </w:t>
      </w:r>
      <w:hyperlink r:id="rId19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2761/21</w:t>
        </w:r>
      </w:hyperlink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בעניין </w:t>
      </w:r>
      <w:r>
        <w:rPr>
          <w:rFonts w:ascii="FrankRuehl" w:hAnsi="FrankRuehl" w:cs="FrankRuehl"/>
          <w:b/>
          <w:b/>
          <w:bCs/>
          <w:color w:val="000000"/>
          <w:sz w:val="28"/>
          <w:sz w:val="28"/>
          <w:szCs w:val="28"/>
          <w:rtl w:val="true"/>
        </w:rPr>
        <w:t>עואלי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)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 w:before="0" w:after="240"/>
        <w:ind w:end="0"/>
        <w:jc w:val="both"/>
        <w:rPr/>
      </w:pPr>
      <w:r>
        <w:rPr>
          <w:rFonts w:cs="FrankRuehl" w:ascii="FrankRuehl" w:hAnsi="FrankRuehl"/>
          <w:color w:val="000000"/>
          <w:sz w:val="28"/>
          <w:szCs w:val="28"/>
        </w:rPr>
        <w:t>26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במקרה זה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צודקת המאשימה כי נכון לקבוע מתחם נפרד לכל אחד מהאישומים המתייחסים לתקופת בגירותו של הנאשם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ומתחם אחד לאישומים המתייחסים למעשיו בתקופת היותו קטין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קביעה כי יש לראות במספר אירועים כ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"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אירוע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"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אחד לעניין קביעת המתחם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צריכה להיות מבוססת על מבחן 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"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הקשר ההדוק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".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היינו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האם המעשים שבהם הורשע הנאשם היו חלק ממסכת עבריינית אחת או רצף של אירועים 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(</w:t>
      </w:r>
      <w:hyperlink r:id="rId20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4910/13</w:t>
        </w:r>
      </w:hyperlink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color w:val="000000"/>
          <w:sz w:val="28"/>
          <w:sz w:val="28"/>
          <w:szCs w:val="28"/>
          <w:rtl w:val="true"/>
        </w:rPr>
        <w:t>ג</w:t>
      </w:r>
      <w:r>
        <w:rPr>
          <w:rFonts w:cs="FrankRuehl" w:ascii="FrankRuehl" w:hAnsi="FrankRuehl"/>
          <w:b/>
          <w:bCs/>
          <w:color w:val="000000"/>
          <w:sz w:val="28"/>
          <w:szCs w:val="28"/>
          <w:rtl w:val="true"/>
        </w:rPr>
        <w:t>'</w:t>
      </w:r>
      <w:r>
        <w:rPr>
          <w:rFonts w:ascii="FrankRuehl" w:hAnsi="FrankRuehl" w:cs="FrankRuehl"/>
          <w:b/>
          <w:b/>
          <w:bCs/>
          <w:color w:val="000000"/>
          <w:sz w:val="28"/>
          <w:sz w:val="28"/>
          <w:szCs w:val="28"/>
          <w:rtl w:val="true"/>
        </w:rPr>
        <w:t>אבר נ</w:t>
      </w:r>
      <w:r>
        <w:rPr>
          <w:rFonts w:cs="FrankRuehl" w:ascii="FrankRuehl" w:hAnsi="FrankRuehl"/>
          <w:b/>
          <w:bCs/>
          <w:color w:val="000000"/>
          <w:sz w:val="28"/>
          <w:szCs w:val="28"/>
          <w:rtl w:val="true"/>
        </w:rPr>
        <w:t xml:space="preserve">' </w:t>
      </w:r>
      <w:r>
        <w:rPr>
          <w:rFonts w:ascii="FrankRuehl" w:hAnsi="FrankRuehl" w:cs="FrankRuehl"/>
          <w:b/>
          <w:b/>
          <w:bCs/>
          <w:color w:val="000000"/>
          <w:sz w:val="28"/>
          <w:sz w:val="28"/>
          <w:szCs w:val="28"/>
          <w:rtl w:val="true"/>
        </w:rPr>
        <w:t>מדינת ישראל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(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פורסם בנבו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 w:ascii="FrankRuehl" w:hAnsi="FrankRuehl"/>
          <w:color w:val="000000"/>
          <w:sz w:val="28"/>
          <w:szCs w:val="28"/>
        </w:rPr>
        <w:t>29.10.14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)).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האישומים הראשון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השלישי והרביעי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שביצע הנאשם בהיותו בגיר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נעשו על רקע נסיבות שונות ובפער זמנים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האישום השלישי הוא מחודש מאי </w:t>
      </w:r>
      <w:r>
        <w:rPr>
          <w:rFonts w:cs="FrankRuehl" w:ascii="FrankRuehl" w:hAnsi="FrankRuehl"/>
          <w:color w:val="000000"/>
          <w:sz w:val="28"/>
          <w:szCs w:val="28"/>
        </w:rPr>
        <w:t>2020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והאישומים הראשון והרביעי אמנם שניהם מחודש אוקטובר </w:t>
      </w:r>
      <w:r>
        <w:rPr>
          <w:rFonts w:cs="FrankRuehl" w:ascii="FrankRuehl" w:hAnsi="FrankRuehl"/>
          <w:color w:val="000000"/>
          <w:sz w:val="28"/>
          <w:szCs w:val="28"/>
        </w:rPr>
        <w:t>2020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אך באחד מהם הנאשם ירה בנשק במסגרת חתונה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ובשני מדובר בהחזקת נשק לשימוש כנגד משפחה שהייתה בסכסוך עם משפחתו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 w:before="0" w:after="240"/>
        <w:ind w:end="0"/>
        <w:jc w:val="both"/>
        <w:rPr>
          <w:rFonts w:ascii="FrankRuehl" w:hAnsi="FrankRuehl" w:cs="FrankRuehl"/>
          <w:color w:val="000000"/>
          <w:sz w:val="28"/>
          <w:szCs w:val="28"/>
        </w:rPr>
      </w:pPr>
      <w:r>
        <w:rPr>
          <w:rFonts w:cs="FrankRuehl" w:ascii="FrankRuehl" w:hAnsi="FrankRuehl"/>
          <w:color w:val="000000"/>
          <w:sz w:val="28"/>
          <w:szCs w:val="28"/>
        </w:rPr>
        <w:t>27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באשר לנסיבות בהן בוצעו העבירות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חלק מהאישומים מלמדים על תכנון מוקדם של הנאשם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כמו האישומים השני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השלישי והרביעי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וברוב ככול האישומים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הנאשם הוא אשר פנה לאחרים על מנת שיסייעו בידו להשיג את הנשק או את התחמושת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קשה להפריז במידת הסיכון שנשקפה מהמעשים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שעה שהנאשם שאינו בעל רישיון להחזיק בנשק אחז בנשק ותחמושת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בפרט נכון הדבר בהתייחס לאישומים הרביעי והחמישי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אז עמד בבסיס רצונו של הנאשם להשיג נשק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סכסוך בין משפחתו למשפחה אחרת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אם כי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באישום הרביעי יוחסה לנאשם עבירת ניסיון בלבד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בחלק מהאישומים ההחזקה או הנשיאה של הנשק הייתה לתקופה קצרה 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(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כמו באישומים השני והחמישי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)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ובחלק האחר – לתקופה ממשוכת יותר 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(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כמו באישום השלישי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). </w:t>
      </w:r>
    </w:p>
    <w:p>
      <w:pPr>
        <w:pStyle w:val="Normal"/>
        <w:spacing w:lineRule="auto" w:line="360" w:before="0" w:after="240"/>
        <w:ind w:end="0"/>
        <w:jc w:val="both"/>
        <w:rPr>
          <w:rFonts w:ascii="FrankRuehl" w:hAnsi="FrankRuehl" w:cs="FrankRuehl"/>
          <w:color w:val="000000"/>
          <w:sz w:val="28"/>
          <w:szCs w:val="28"/>
        </w:rPr>
      </w:pPr>
      <w:r>
        <w:rPr>
          <w:rFonts w:cs="FrankRuehl" w:ascii="FrankRuehl" w:hAnsi="FrankRuehl"/>
          <w:color w:val="000000"/>
          <w:sz w:val="28"/>
          <w:szCs w:val="28"/>
        </w:rPr>
        <w:t>28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עיון בפסיקה הנוהגת מלמד על מתחמים שונים בעבירות של נשיאת נשק והחזקת נשק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בשים לב לסוג הנשק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מיקום החזקתו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ועוד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240"/>
        <w:ind w:end="0"/>
        <w:jc w:val="both"/>
        <w:rPr/>
      </w:pPr>
      <w:r>
        <w:rPr>
          <w:rFonts w:cs="FrankRuehl" w:ascii="FrankRuehl" w:hAnsi="FrankRuehl"/>
          <w:color w:val="000000"/>
          <w:sz w:val="28"/>
          <w:szCs w:val="28"/>
        </w:rPr>
        <w:t>29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כך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במקרה של החזקת אקדח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הנחשד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כגנוב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בבית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כשהוא הוחזק עם מחסנית מלאה כדורים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הושת עונש של </w:t>
      </w:r>
      <w:r>
        <w:rPr>
          <w:rFonts w:cs="FrankRuehl" w:ascii="FrankRuehl" w:hAnsi="FrankRuehl"/>
          <w:color w:val="000000"/>
          <w:sz w:val="28"/>
          <w:szCs w:val="28"/>
        </w:rPr>
        <w:t>6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חודשי מאסר 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(</w:t>
      </w:r>
      <w:hyperlink r:id="rId21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1505/14</w:t>
        </w:r>
      </w:hyperlink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color w:val="000000"/>
          <w:sz w:val="28"/>
          <w:sz w:val="28"/>
          <w:szCs w:val="28"/>
          <w:rtl w:val="true"/>
        </w:rPr>
        <w:t>לידאוי נ</w:t>
      </w:r>
      <w:r>
        <w:rPr>
          <w:rFonts w:cs="FrankRuehl" w:ascii="FrankRuehl" w:hAnsi="FrankRuehl"/>
          <w:b/>
          <w:bCs/>
          <w:color w:val="000000"/>
          <w:sz w:val="28"/>
          <w:szCs w:val="28"/>
          <w:rtl w:val="true"/>
        </w:rPr>
        <w:t xml:space="preserve">' </w:t>
      </w:r>
      <w:r>
        <w:rPr>
          <w:rFonts w:ascii="FrankRuehl" w:hAnsi="FrankRuehl" w:cs="FrankRuehl"/>
          <w:b/>
          <w:b/>
          <w:bCs/>
          <w:color w:val="000000"/>
          <w:sz w:val="28"/>
          <w:sz w:val="28"/>
          <w:szCs w:val="28"/>
          <w:rtl w:val="true"/>
        </w:rPr>
        <w:t>מדינת ישראל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(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פורסם בנבו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 w:ascii="FrankRuehl" w:hAnsi="FrankRuehl"/>
          <w:color w:val="000000"/>
          <w:sz w:val="28"/>
          <w:szCs w:val="28"/>
        </w:rPr>
        <w:t>4.11.14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),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במקרה של החזקת תת מקלע מאולתר נקבע מתחם של </w:t>
      </w:r>
      <w:r>
        <w:rPr>
          <w:rFonts w:cs="FrankRuehl" w:ascii="FrankRuehl" w:hAnsi="FrankRuehl"/>
          <w:color w:val="000000"/>
          <w:sz w:val="28"/>
          <w:szCs w:val="28"/>
        </w:rPr>
        <w:t>7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עד </w:t>
      </w:r>
      <w:r>
        <w:rPr>
          <w:rFonts w:cs="FrankRuehl" w:ascii="FrankRuehl" w:hAnsi="FrankRuehl"/>
          <w:color w:val="000000"/>
          <w:sz w:val="28"/>
          <w:szCs w:val="28"/>
        </w:rPr>
        <w:t>20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חודשי מאסר 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(</w:t>
      </w:r>
      <w:hyperlink r:id="rId22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מחוזי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-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י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-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ם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52515-03-20</w:t>
        </w:r>
      </w:hyperlink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color w:val="000000"/>
          <w:sz w:val="28"/>
          <w:sz w:val="28"/>
          <w:szCs w:val="28"/>
          <w:rtl w:val="true"/>
        </w:rPr>
        <w:t>מדינת ישראל נ</w:t>
      </w:r>
      <w:r>
        <w:rPr>
          <w:rFonts w:cs="FrankRuehl" w:ascii="FrankRuehl" w:hAnsi="FrankRuehl"/>
          <w:b/>
          <w:bCs/>
          <w:color w:val="000000"/>
          <w:sz w:val="28"/>
          <w:szCs w:val="28"/>
          <w:rtl w:val="true"/>
        </w:rPr>
        <w:t xml:space="preserve">' </w:t>
      </w:r>
      <w:r>
        <w:rPr>
          <w:rFonts w:ascii="FrankRuehl" w:hAnsi="FrankRuehl" w:cs="FrankRuehl"/>
          <w:b/>
          <w:b/>
          <w:bCs/>
          <w:color w:val="000000"/>
          <w:sz w:val="28"/>
          <w:sz w:val="28"/>
          <w:szCs w:val="28"/>
          <w:rtl w:val="true"/>
        </w:rPr>
        <w:t>סנדוקה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(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פורסם בנבו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 w:ascii="FrankRuehl" w:hAnsi="FrankRuehl"/>
          <w:color w:val="000000"/>
          <w:sz w:val="28"/>
          <w:szCs w:val="28"/>
        </w:rPr>
        <w:t>19.10.20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).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בדומה נקבע מתחם עונש של </w:t>
      </w:r>
      <w:r>
        <w:rPr>
          <w:rFonts w:cs="FrankRuehl" w:ascii="FrankRuehl" w:hAnsi="FrankRuehl"/>
          <w:color w:val="000000"/>
          <w:sz w:val="28"/>
          <w:szCs w:val="28"/>
        </w:rPr>
        <w:t>7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עד </w:t>
      </w:r>
      <w:r>
        <w:rPr>
          <w:rFonts w:cs="FrankRuehl" w:ascii="FrankRuehl" w:hAnsi="FrankRuehl"/>
          <w:color w:val="000000"/>
          <w:sz w:val="28"/>
          <w:szCs w:val="28"/>
        </w:rPr>
        <w:t>24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חודשי מאסר במקרה של החזקת אקדח ומחסנית תואמת 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(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עפ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"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ג 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(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מחוזי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-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חי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') </w:t>
      </w:r>
      <w:r>
        <w:rPr>
          <w:rFonts w:ascii="FrankRuehl" w:hAnsi="FrankRuehl" w:cs="FrankRuehl"/>
          <w:b/>
          <w:b/>
          <w:bCs/>
          <w:color w:val="000000"/>
          <w:sz w:val="28"/>
          <w:sz w:val="28"/>
          <w:szCs w:val="28"/>
          <w:rtl w:val="true"/>
        </w:rPr>
        <w:t>מדינת ישראל נ</w:t>
      </w:r>
      <w:r>
        <w:rPr>
          <w:rFonts w:cs="FrankRuehl" w:ascii="FrankRuehl" w:hAnsi="FrankRuehl"/>
          <w:b/>
          <w:bCs/>
          <w:color w:val="000000"/>
          <w:sz w:val="28"/>
          <w:szCs w:val="28"/>
          <w:rtl w:val="true"/>
        </w:rPr>
        <w:t xml:space="preserve">' </w:t>
      </w:r>
      <w:r>
        <w:rPr>
          <w:rFonts w:ascii="FrankRuehl" w:hAnsi="FrankRuehl" w:cs="FrankRuehl"/>
          <w:b/>
          <w:b/>
          <w:bCs/>
          <w:color w:val="000000"/>
          <w:sz w:val="28"/>
          <w:sz w:val="28"/>
          <w:szCs w:val="28"/>
          <w:rtl w:val="true"/>
        </w:rPr>
        <w:t>ג</w:t>
      </w:r>
      <w:r>
        <w:rPr>
          <w:rFonts w:cs="FrankRuehl" w:ascii="FrankRuehl" w:hAnsi="FrankRuehl"/>
          <w:b/>
          <w:bCs/>
          <w:color w:val="000000"/>
          <w:sz w:val="28"/>
          <w:szCs w:val="28"/>
          <w:rtl w:val="true"/>
        </w:rPr>
        <w:t>'</w:t>
      </w:r>
      <w:r>
        <w:rPr>
          <w:rFonts w:ascii="FrankRuehl" w:hAnsi="FrankRuehl" w:cs="FrankRuehl"/>
          <w:b/>
          <w:b/>
          <w:bCs/>
          <w:color w:val="000000"/>
          <w:sz w:val="28"/>
          <w:sz w:val="28"/>
          <w:szCs w:val="28"/>
          <w:rtl w:val="true"/>
        </w:rPr>
        <w:t>מאחנה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(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פורסם בנבו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 w:ascii="FrankRuehl" w:hAnsi="FrankRuehl"/>
          <w:color w:val="000000"/>
          <w:sz w:val="28"/>
          <w:szCs w:val="28"/>
        </w:rPr>
        <w:t>11.04.19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).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וראו גם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: </w:t>
      </w:r>
      <w:hyperlink r:id="rId23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עפ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ג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מחוזי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-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נצ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 xml:space="preserve">')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37217-03-19</w:t>
        </w:r>
      </w:hyperlink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color w:val="000000"/>
          <w:sz w:val="28"/>
          <w:sz w:val="28"/>
          <w:szCs w:val="28"/>
          <w:rtl w:val="true"/>
        </w:rPr>
        <w:t>ג</w:t>
      </w:r>
      <w:r>
        <w:rPr>
          <w:rFonts w:cs="FrankRuehl" w:ascii="FrankRuehl" w:hAnsi="FrankRuehl"/>
          <w:b/>
          <w:bCs/>
          <w:color w:val="000000"/>
          <w:sz w:val="28"/>
          <w:szCs w:val="28"/>
          <w:rtl w:val="true"/>
        </w:rPr>
        <w:t>'</w:t>
      </w:r>
      <w:r>
        <w:rPr>
          <w:rFonts w:ascii="FrankRuehl" w:hAnsi="FrankRuehl" w:cs="FrankRuehl"/>
          <w:b/>
          <w:b/>
          <w:bCs/>
          <w:color w:val="000000"/>
          <w:sz w:val="28"/>
          <w:sz w:val="28"/>
          <w:szCs w:val="28"/>
          <w:rtl w:val="true"/>
        </w:rPr>
        <w:t>ואברה</w:t>
      </w:r>
      <w:r>
        <w:rPr>
          <w:rFonts w:ascii="FrankRuehl" w:hAnsi="FrankRuehl" w:cs="FrankRuehl"/>
          <w:b/>
          <w:b/>
          <w:bCs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color w:val="000000"/>
          <w:sz w:val="28"/>
          <w:sz w:val="28"/>
          <w:szCs w:val="28"/>
          <w:rtl w:val="true"/>
        </w:rPr>
        <w:t>נ</w:t>
      </w:r>
      <w:r>
        <w:rPr>
          <w:rFonts w:cs="FrankRuehl" w:ascii="FrankRuehl" w:hAnsi="FrankRuehl"/>
          <w:b/>
          <w:bCs/>
          <w:color w:val="000000"/>
          <w:sz w:val="28"/>
          <w:szCs w:val="28"/>
          <w:rtl w:val="true"/>
        </w:rPr>
        <w:t xml:space="preserve">' </w:t>
      </w:r>
      <w:r>
        <w:rPr>
          <w:rFonts w:ascii="FrankRuehl" w:hAnsi="FrankRuehl" w:cs="FrankRuehl"/>
          <w:b/>
          <w:b/>
          <w:bCs/>
          <w:color w:val="000000"/>
          <w:sz w:val="28"/>
          <w:sz w:val="28"/>
          <w:szCs w:val="28"/>
          <w:rtl w:val="true"/>
        </w:rPr>
        <w:t xml:space="preserve">מדינת ישראל 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(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פורסם בנבו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 w:ascii="FrankRuehl" w:hAnsi="FrankRuehl"/>
          <w:color w:val="000000"/>
          <w:sz w:val="28"/>
          <w:szCs w:val="28"/>
        </w:rPr>
        <w:t>25.11.19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); </w:t>
      </w:r>
      <w:hyperlink r:id="rId24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מחוזי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-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י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-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ם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66542-05-20</w:t>
        </w:r>
      </w:hyperlink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color w:val="000000"/>
          <w:sz w:val="28"/>
          <w:sz w:val="28"/>
          <w:szCs w:val="28"/>
          <w:rtl w:val="true"/>
        </w:rPr>
        <w:t>מדינת ישראל נ</w:t>
      </w:r>
      <w:r>
        <w:rPr>
          <w:rFonts w:cs="FrankRuehl" w:ascii="FrankRuehl" w:hAnsi="FrankRuehl"/>
          <w:b/>
          <w:bCs/>
          <w:color w:val="000000"/>
          <w:sz w:val="28"/>
          <w:szCs w:val="28"/>
          <w:rtl w:val="true"/>
        </w:rPr>
        <w:t xml:space="preserve">' </w:t>
      </w:r>
      <w:r>
        <w:rPr>
          <w:rFonts w:ascii="FrankRuehl" w:hAnsi="FrankRuehl" w:cs="FrankRuehl"/>
          <w:b/>
          <w:b/>
          <w:bCs/>
          <w:color w:val="000000"/>
          <w:sz w:val="28"/>
          <w:sz w:val="28"/>
          <w:szCs w:val="28"/>
          <w:rtl w:val="true"/>
        </w:rPr>
        <w:t>אבו נאב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(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פרסם בנבו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 w:ascii="FrankRuehl" w:hAnsi="FrankRuehl"/>
          <w:color w:val="000000"/>
          <w:sz w:val="28"/>
          <w:szCs w:val="28"/>
        </w:rPr>
        <w:t>25.01.21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) </w:t>
      </w:r>
    </w:p>
    <w:p>
      <w:pPr>
        <w:pStyle w:val="Normal"/>
        <w:spacing w:lineRule="auto" w:line="360" w:before="0" w:after="240"/>
        <w:ind w:end="0"/>
        <w:jc w:val="both"/>
        <w:rPr/>
      </w:pPr>
      <w:r>
        <w:rPr>
          <w:rFonts w:cs="FrankRuehl" w:ascii="FrankRuehl" w:hAnsi="FrankRuehl"/>
          <w:color w:val="000000"/>
          <w:sz w:val="28"/>
          <w:szCs w:val="28"/>
        </w:rPr>
        <w:t>30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במקרה אחר של שתי עבירות החזקת נשק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מסוג </w:t>
      </w:r>
      <w:r>
        <w:rPr>
          <w:rFonts w:cs="FrankRuehl" w:ascii="FrankRuehl" w:hAnsi="FrankRuehl"/>
          <w:color w:val="000000"/>
          <w:sz w:val="28"/>
          <w:szCs w:val="28"/>
        </w:rPr>
        <w:t>M16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ואקדח חצי אוטומטי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מתחת למבנה המצוי בבית ספר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נקבע מתחם שבין </w:t>
      </w:r>
      <w:r>
        <w:rPr>
          <w:rFonts w:cs="FrankRuehl" w:ascii="FrankRuehl" w:hAnsi="FrankRuehl"/>
          <w:color w:val="000000"/>
          <w:sz w:val="28"/>
          <w:szCs w:val="28"/>
        </w:rPr>
        <w:t>12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ל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-</w:t>
      </w:r>
      <w:r>
        <w:rPr>
          <w:rFonts w:cs="FrankRuehl" w:ascii="FrankRuehl" w:hAnsi="FrankRuehl"/>
          <w:color w:val="000000"/>
          <w:sz w:val="28"/>
          <w:szCs w:val="28"/>
        </w:rPr>
        <w:t>24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חודשי מאסר 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(</w:t>
      </w:r>
      <w:hyperlink r:id="rId25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מחוזי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-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י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-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ם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35512-06-17</w:t>
        </w:r>
      </w:hyperlink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color w:val="000000"/>
          <w:sz w:val="28"/>
          <w:sz w:val="28"/>
          <w:szCs w:val="28"/>
          <w:rtl w:val="true"/>
        </w:rPr>
        <w:t>מדינת ישראל נ</w:t>
      </w:r>
      <w:r>
        <w:rPr>
          <w:rFonts w:cs="FrankRuehl" w:ascii="FrankRuehl" w:hAnsi="FrankRuehl"/>
          <w:b/>
          <w:bCs/>
          <w:color w:val="000000"/>
          <w:sz w:val="28"/>
          <w:szCs w:val="28"/>
          <w:rtl w:val="true"/>
        </w:rPr>
        <w:t xml:space="preserve">' </w:t>
      </w:r>
      <w:r>
        <w:rPr>
          <w:rFonts w:ascii="FrankRuehl" w:hAnsi="FrankRuehl" w:cs="FrankRuehl"/>
          <w:b/>
          <w:b/>
          <w:bCs/>
          <w:color w:val="000000"/>
          <w:sz w:val="28"/>
          <w:sz w:val="28"/>
          <w:szCs w:val="28"/>
          <w:rtl w:val="true"/>
        </w:rPr>
        <w:t>אל</w:t>
      </w:r>
      <w:r>
        <w:rPr>
          <w:rFonts w:cs="FrankRuehl" w:ascii="FrankRuehl" w:hAnsi="FrankRuehl"/>
          <w:b/>
          <w:bCs/>
          <w:color w:val="000000"/>
          <w:sz w:val="28"/>
          <w:szCs w:val="28"/>
          <w:rtl w:val="true"/>
        </w:rPr>
        <w:t>-</w:t>
      </w:r>
      <w:r>
        <w:rPr>
          <w:rFonts w:ascii="FrankRuehl" w:hAnsi="FrankRuehl" w:cs="FrankRuehl"/>
          <w:b/>
          <w:b/>
          <w:bCs/>
          <w:color w:val="000000"/>
          <w:sz w:val="28"/>
          <w:sz w:val="28"/>
          <w:szCs w:val="28"/>
          <w:rtl w:val="true"/>
        </w:rPr>
        <w:t>קעקע בכיראת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(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פורסם בנבו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 w:ascii="FrankRuehl" w:hAnsi="FrankRuehl"/>
          <w:color w:val="000000"/>
          <w:sz w:val="28"/>
          <w:szCs w:val="28"/>
        </w:rPr>
        <w:t>7.03.19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).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ומתחם של </w:t>
      </w:r>
      <w:r>
        <w:rPr>
          <w:rFonts w:cs="FrankRuehl" w:ascii="FrankRuehl" w:hAnsi="FrankRuehl"/>
          <w:color w:val="000000"/>
          <w:sz w:val="28"/>
          <w:szCs w:val="28"/>
        </w:rPr>
        <w:t>12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עד </w:t>
      </w:r>
      <w:r>
        <w:rPr>
          <w:rFonts w:cs="FrankRuehl" w:ascii="FrankRuehl" w:hAnsi="FrankRuehl"/>
          <w:color w:val="000000"/>
          <w:sz w:val="28"/>
          <w:szCs w:val="28"/>
        </w:rPr>
        <w:t>36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חודשי מאסר נקבע במקרה של שתי עבירות רכישה והחזקת נשק מסוג </w:t>
      </w:r>
      <w:r>
        <w:rPr>
          <w:rFonts w:cs="FrankRuehl" w:ascii="FrankRuehl" w:hAnsi="FrankRuehl"/>
          <w:color w:val="000000"/>
          <w:sz w:val="28"/>
          <w:szCs w:val="28"/>
        </w:rPr>
        <w:t>M16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(</w:t>
      </w:r>
      <w:hyperlink r:id="rId26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מחוזי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-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י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-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ם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42291-02-16</w:t>
        </w:r>
      </w:hyperlink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color w:val="000000"/>
          <w:sz w:val="28"/>
          <w:sz w:val="28"/>
          <w:szCs w:val="28"/>
          <w:rtl w:val="true"/>
        </w:rPr>
        <w:t>מדינת ישראל נ</w:t>
      </w:r>
      <w:r>
        <w:rPr>
          <w:rFonts w:cs="FrankRuehl" w:ascii="FrankRuehl" w:hAnsi="FrankRuehl"/>
          <w:b/>
          <w:bCs/>
          <w:color w:val="000000"/>
          <w:sz w:val="28"/>
          <w:szCs w:val="28"/>
          <w:rtl w:val="true"/>
        </w:rPr>
        <w:t xml:space="preserve">' </w:t>
      </w:r>
      <w:r>
        <w:rPr>
          <w:rFonts w:ascii="FrankRuehl" w:hAnsi="FrankRuehl" w:cs="FrankRuehl"/>
          <w:b/>
          <w:b/>
          <w:bCs/>
          <w:color w:val="000000"/>
          <w:sz w:val="28"/>
          <w:sz w:val="28"/>
          <w:szCs w:val="28"/>
          <w:rtl w:val="true"/>
        </w:rPr>
        <w:t>דיסי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(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פורסם בנבו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 w:ascii="FrankRuehl" w:hAnsi="FrankRuehl"/>
          <w:color w:val="000000"/>
          <w:sz w:val="28"/>
          <w:szCs w:val="28"/>
        </w:rPr>
        <w:t>2.12.18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) </w:t>
      </w:r>
    </w:p>
    <w:p>
      <w:pPr>
        <w:pStyle w:val="Normal"/>
        <w:spacing w:lineRule="auto" w:line="360" w:before="0" w:after="240"/>
        <w:ind w:end="0"/>
        <w:jc w:val="both"/>
        <w:rPr/>
      </w:pPr>
      <w:r>
        <w:rPr>
          <w:rFonts w:cs="FrankRuehl" w:ascii="FrankRuehl" w:hAnsi="FrankRuehl"/>
          <w:color w:val="000000"/>
          <w:sz w:val="28"/>
          <w:szCs w:val="28"/>
        </w:rPr>
        <w:t>31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עונשים חמורים יותר נקבעו במקרה של נשיאת נשק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כך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למשל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נאשם שהורשע בעבירות של רכישת נשק ואביזר נשק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ונשיאה והובלת נשק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תת מקלע ומחסנית תואמת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נידון לתשעה חודשי מאסר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שכשנקבע מתחם הנע בין </w:t>
      </w:r>
      <w:r>
        <w:rPr>
          <w:rFonts w:cs="FrankRuehl" w:ascii="FrankRuehl" w:hAnsi="FrankRuehl"/>
          <w:color w:val="000000"/>
          <w:sz w:val="28"/>
          <w:szCs w:val="28"/>
        </w:rPr>
        <w:t>9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ל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-</w:t>
      </w:r>
      <w:r>
        <w:rPr>
          <w:rFonts w:cs="FrankRuehl" w:ascii="FrankRuehl" w:hAnsi="FrankRuehl"/>
          <w:color w:val="000000"/>
          <w:sz w:val="28"/>
          <w:szCs w:val="28"/>
        </w:rPr>
        <w:t>24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חודשים 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(</w:t>
      </w:r>
      <w:hyperlink r:id="rId27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מחוזי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-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י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-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ם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51523-10-17</w:t>
        </w:r>
      </w:hyperlink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color w:val="000000"/>
          <w:sz w:val="28"/>
          <w:sz w:val="28"/>
          <w:szCs w:val="28"/>
          <w:rtl w:val="true"/>
        </w:rPr>
        <w:t>מדינת ישראל נ</w:t>
      </w:r>
      <w:r>
        <w:rPr>
          <w:rFonts w:cs="FrankRuehl" w:ascii="FrankRuehl" w:hAnsi="FrankRuehl"/>
          <w:b/>
          <w:bCs/>
          <w:color w:val="000000"/>
          <w:sz w:val="28"/>
          <w:szCs w:val="28"/>
          <w:rtl w:val="true"/>
        </w:rPr>
        <w:t xml:space="preserve">' </w:t>
      </w:r>
      <w:r>
        <w:rPr>
          <w:rFonts w:ascii="FrankRuehl" w:hAnsi="FrankRuehl" w:cs="FrankRuehl"/>
          <w:b/>
          <w:b/>
          <w:bCs/>
          <w:color w:val="000000"/>
          <w:sz w:val="28"/>
          <w:sz w:val="28"/>
          <w:szCs w:val="28"/>
          <w:rtl w:val="true"/>
        </w:rPr>
        <w:t>בלזמית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(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פורסם בנבו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 w:ascii="FrankRuehl" w:hAnsi="FrankRuehl"/>
          <w:color w:val="000000"/>
          <w:sz w:val="28"/>
          <w:szCs w:val="28"/>
        </w:rPr>
        <w:t>2.05.18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).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ונאשם שהורשע בנשיאת והובלת אקדח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מחסנית וכדורים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נידון לעונש מאסר של ששה חודשים בעבודות שירות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במסגרת מתחם הנע מ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-</w:t>
      </w:r>
      <w:r>
        <w:rPr>
          <w:rFonts w:cs="FrankRuehl" w:ascii="FrankRuehl" w:hAnsi="FrankRuehl"/>
          <w:color w:val="000000"/>
          <w:sz w:val="28"/>
          <w:szCs w:val="28"/>
        </w:rPr>
        <w:t>6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ל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-</w:t>
      </w:r>
      <w:r>
        <w:rPr>
          <w:rFonts w:cs="FrankRuehl" w:ascii="FrankRuehl" w:hAnsi="FrankRuehl"/>
          <w:color w:val="000000"/>
          <w:sz w:val="28"/>
          <w:szCs w:val="28"/>
        </w:rPr>
        <w:t>30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חודשי מאסר 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(</w:t>
      </w:r>
      <w:hyperlink r:id="rId28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מחוזי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-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י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-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ם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62597-10-17</w:t>
        </w:r>
      </w:hyperlink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color w:val="000000"/>
          <w:sz w:val="28"/>
          <w:sz w:val="28"/>
          <w:szCs w:val="28"/>
          <w:rtl w:val="true"/>
        </w:rPr>
        <w:t>מדינת ישראל נ</w:t>
      </w:r>
      <w:r>
        <w:rPr>
          <w:rFonts w:cs="FrankRuehl" w:ascii="FrankRuehl" w:hAnsi="FrankRuehl"/>
          <w:b/>
          <w:bCs/>
          <w:color w:val="000000"/>
          <w:sz w:val="28"/>
          <w:szCs w:val="28"/>
          <w:rtl w:val="true"/>
        </w:rPr>
        <w:t xml:space="preserve">' </w:t>
      </w:r>
      <w:r>
        <w:rPr>
          <w:rFonts w:ascii="FrankRuehl" w:hAnsi="FrankRuehl" w:cs="FrankRuehl"/>
          <w:b/>
          <w:b/>
          <w:bCs/>
          <w:color w:val="000000"/>
          <w:sz w:val="28"/>
          <w:sz w:val="28"/>
          <w:szCs w:val="28"/>
          <w:rtl w:val="true"/>
        </w:rPr>
        <w:t>פלוני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(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פורסם בנבו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 w:ascii="FrankRuehl" w:hAnsi="FrankRuehl"/>
          <w:color w:val="000000"/>
          <w:sz w:val="28"/>
          <w:szCs w:val="28"/>
        </w:rPr>
        <w:t>6.01.19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)</w:t>
      </w:r>
    </w:p>
    <w:p>
      <w:pPr>
        <w:pStyle w:val="Normal"/>
        <w:spacing w:lineRule="auto" w:line="360" w:before="0" w:after="240"/>
        <w:ind w:end="0"/>
        <w:jc w:val="both"/>
        <w:rPr/>
      </w:pPr>
      <w:r>
        <w:rPr>
          <w:rFonts w:cs="FrankRuehl" w:ascii="FrankRuehl" w:hAnsi="FrankRuehl"/>
          <w:color w:val="000000"/>
          <w:sz w:val="28"/>
          <w:szCs w:val="28"/>
        </w:rPr>
        <w:t>32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בשים לב לאמור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אני סבור כי יש לקבוע מתחם עונש הולם לאישום הראשון הנע משבעה חודשי מאסר ועד </w:t>
      </w:r>
      <w:r>
        <w:rPr>
          <w:rFonts w:cs="FrankRuehl" w:ascii="FrankRuehl" w:hAnsi="FrankRuehl"/>
          <w:color w:val="000000"/>
          <w:sz w:val="28"/>
          <w:szCs w:val="28"/>
        </w:rPr>
        <w:t>20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חודשים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בדומה כך הוא גם המתחם של האישומים השלישי והרביעי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באשר לאישומים השני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החמישי והשישי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אותם ביצע הנאשם בהיותו קטין מחד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אך מאידך מדובר בעבירות חמורות יותר של נשיאת נשק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ובנסיבות חמורות סביב סכסוך משפחתי במקרה אחד אקדח ובמקרה אחר רובה מסוג </w:t>
      </w:r>
      <w:r>
        <w:rPr>
          <w:rFonts w:cs="FrankRuehl" w:ascii="FrankRuehl" w:hAnsi="FrankRuehl"/>
          <w:color w:val="000000"/>
          <w:sz w:val="28"/>
          <w:szCs w:val="28"/>
        </w:rPr>
        <w:t>M16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מתחם העונש ההולם את שלושת אישומים אלו כאחד נע מ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-</w:t>
      </w:r>
      <w:r>
        <w:rPr>
          <w:rFonts w:cs="FrankRuehl" w:ascii="FrankRuehl" w:hAnsi="FrankRuehl"/>
          <w:color w:val="000000"/>
          <w:sz w:val="28"/>
          <w:szCs w:val="28"/>
        </w:rPr>
        <w:t>15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חודשי מאסר ועד </w:t>
      </w:r>
      <w:r>
        <w:rPr>
          <w:rFonts w:cs="FrankRuehl" w:ascii="FrankRuehl" w:hAnsi="FrankRuehl"/>
          <w:color w:val="000000"/>
          <w:sz w:val="28"/>
          <w:szCs w:val="28"/>
        </w:rPr>
        <w:t>36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חודשים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 w:before="0" w:after="240"/>
        <w:ind w:end="0"/>
        <w:jc w:val="both"/>
        <w:rPr>
          <w:rFonts w:ascii="FrankRuehl" w:hAnsi="FrankRuehl" w:cs="FrankRuehl"/>
          <w:color w:val="000000"/>
          <w:sz w:val="28"/>
          <w:szCs w:val="28"/>
        </w:rPr>
      </w:pP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מכאן לנאשם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240"/>
        <w:ind w:end="0"/>
        <w:jc w:val="both"/>
        <w:rPr>
          <w:rFonts w:ascii="FrankRuehl" w:hAnsi="FrankRuehl" w:cs="FrankRuehl"/>
          <w:color w:val="000000"/>
          <w:sz w:val="28"/>
          <w:szCs w:val="28"/>
        </w:rPr>
      </w:pPr>
      <w:r>
        <w:rPr>
          <w:rFonts w:cs="FrankRuehl" w:ascii="FrankRuehl" w:hAnsi="FrankRuehl"/>
          <w:color w:val="000000"/>
          <w:sz w:val="28"/>
          <w:szCs w:val="28"/>
        </w:rPr>
        <w:t>33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יליד שנת </w:t>
      </w:r>
      <w:r>
        <w:rPr>
          <w:rFonts w:cs="FrankRuehl" w:ascii="FrankRuehl" w:hAnsi="FrankRuehl"/>
          <w:color w:val="000000"/>
          <w:sz w:val="28"/>
          <w:szCs w:val="28"/>
        </w:rPr>
        <w:t>2001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כיום בן </w:t>
      </w:r>
      <w:r>
        <w:rPr>
          <w:rFonts w:cs="FrankRuehl" w:ascii="FrankRuehl" w:hAnsi="FrankRuehl"/>
          <w:color w:val="000000"/>
          <w:sz w:val="28"/>
          <w:szCs w:val="28"/>
        </w:rPr>
        <w:t>20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נעדר עבר פלילי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יש לציין לקולא את גילו הצעיר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כמו גם את העובדה שאת העבירות החמורות יותר 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(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האישומים השני והחמישי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)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הוא ביצע בהיותו קטין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 w:before="0" w:after="240"/>
        <w:ind w:end="0"/>
        <w:jc w:val="both"/>
        <w:rPr/>
      </w:pPr>
      <w:r>
        <w:rPr>
          <w:rFonts w:cs="FrankRuehl" w:ascii="FrankRuehl" w:hAnsi="FrankRuehl"/>
          <w:color w:val="000000"/>
          <w:sz w:val="28"/>
          <w:szCs w:val="28"/>
        </w:rPr>
        <w:t>34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הנאשם נטל אחריות על מעשיו כבר מתחילת חקירתו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הוא מסר גרסה מפורטת ושיתף פעולה עם רשויות החקירה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בכלל זה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יש להביא בחשבון את העובדה כי המשטרה לא תפסה כלי נשק שיכלו לשמש כראייה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והודאתו היוותה את המצע העיקרי להגשת כתב האישום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יש להביא בחשבון שמ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זמן ביצוע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חלק מהעבירות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ו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דווקא החמורות יותר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שבהן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חלפו מספר שנים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יש לקחת בחשבון גם את העובדה כי הוא המפרנס העיקרי של משפחתו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ומעת מעצרו נאלץ אחיו הצעיר לעזוב את ספסל הלימודים על מנת לסייע בפרנסת המשפחה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.   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 w:ascii="FrankRuehl" w:hAnsi="FrankRuehl"/>
          <w:sz w:val="28"/>
          <w:szCs w:val="28"/>
        </w:rPr>
        <w:t>35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>מאידך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אין מדובר במעשה אחד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אף לא בשניים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כי אם בששה אירועים הפרושים על פני תקופה בהם הנאשם משיג פעם אחר פעם נשק או תחמושת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מכאן ניתן ללמוד על מעורבות משמעותית של הנאשם בעולם הנשק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גם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לא נעלמה ממני התרשמות קצינת המבחן כי הנאשם התייחס בצורה פשטנית למעשיו 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כי הוא התקשה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לעמוד על הסיכון הנשקף מהם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כמו גם גורמי סיכון אחרים להישנות המעשים כאימוץ דפוסי התנהגות בעייתיים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עם זאת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אפשר שענישה מרתיעה צופה פני עתיד נוכח השפעת תקופת המעצר בעבר והמאסר בעתיד יפעלו את פעולתם להקטנת הסיכון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 w:ascii="FrankRuehl" w:hAnsi="FrankRuehl"/>
          <w:sz w:val="28"/>
          <w:szCs w:val="28"/>
        </w:rPr>
        <w:t>36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>בנסיבות אלו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יש לגזור את עונשו של הנאשם ב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סמוך לתחתית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המתחמים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אך לא בתחתיתם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ויש אף לקבוע עונש כולל לכלל האירועים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תוך חפיפ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ת מה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ביניהם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תוך התחשבות במספר העבירות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מועדי ביצוען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והשפעת העונש הכולל על הנאשם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 w:ascii="FrankRuehl" w:hAnsi="FrankRuehl"/>
          <w:sz w:val="28"/>
          <w:szCs w:val="28"/>
        </w:rPr>
        <w:t>37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>לא מצאתי מקום להקל במידה משמעותית עם הנאשם בשל הטענה לאכיפה בררנית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זאת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בשים לב להסבר שנתנה לכך המאשימה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הטעות הנוגעת לאיוב ובאסל עבאסי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ובשים לב לכך שהדברים נלקחו כבר על ידה במסגרת ההסכמה על הסדר טיעון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שכלל תיקון משמעותי של כתב האישום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עם זאת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משקל כלשהו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ולו פחות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יש לתת גם לכך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שכן התוצאה של אי השוויון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גם אם מקורה בטעות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לפיה דווקא הנאשם שהודה ומסר גרסה מפורטת נענש בעוד שהאחרים שהיו שותפים למעשים בדרך זו או אחרת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כלל לא נחקרו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וודאי לא הועמדו לדין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תוצאה קשה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שיש לתת לה ביטוי מה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בשים לב לכך שכאמור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כבר ניתנה על כך הדעת במסגרת תיקון כתב האישום בהסדר הטיעון</w:t>
      </w:r>
      <w:r>
        <w:rPr>
          <w:rFonts w:cs="FrankRuehl" w:ascii="FrankRuehl" w:hAnsi="FrankRuehl"/>
          <w:sz w:val="28"/>
          <w:szCs w:val="28"/>
          <w:rtl w:val="true"/>
        </w:rPr>
        <w:t xml:space="preserve">.  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color w:val="000000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38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>סופו של יום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ולאחר שנתתי דעתי על מכלול הנסיבות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לקולא ולחומרא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אני משית על הנאשם את העונשים הבאים</w:t>
      </w:r>
      <w:r>
        <w:rPr>
          <w:rFonts w:cs="FrankRuehl" w:ascii="FrankRuehl" w:hAnsi="FrankRuehl"/>
          <w:sz w:val="28"/>
          <w:szCs w:val="28"/>
          <w:rtl w:val="true"/>
        </w:rPr>
        <w:t xml:space="preserve">:   </w:t>
      </w:r>
    </w:p>
    <w:p>
      <w:pPr>
        <w:pStyle w:val="Normal"/>
        <w:spacing w:lineRule="auto" w:line="360" w:before="0" w:after="240"/>
        <w:ind w:end="0"/>
        <w:jc w:val="both"/>
        <w:rPr/>
      </w:pPr>
      <w:r>
        <w:rPr>
          <w:rFonts w:cs="FrankRuehl" w:ascii="FrankRuehl" w:hAnsi="FrankRuehl"/>
          <w:color w:val="000000"/>
          <w:sz w:val="28"/>
          <w:szCs w:val="28"/>
        </w:rPr>
        <w:t>1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.         </w:t>
      </w:r>
      <w:r>
        <w:rPr>
          <w:rFonts w:cs="FrankRuehl" w:ascii="FrankRuehl" w:hAnsi="FrankRuehl"/>
          <w:color w:val="000000"/>
          <w:sz w:val="28"/>
          <w:szCs w:val="28"/>
        </w:rPr>
        <w:t>30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חודשי מאסר בפועל בניכוי תקופת מעצרו של הנאשם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החל מיום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color w:val="000000"/>
          <w:sz w:val="28"/>
          <w:szCs w:val="28"/>
        </w:rPr>
        <w:t>20.12.20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240"/>
        <w:ind w:hanging="720" w:start="720" w:end="0"/>
        <w:jc w:val="both"/>
        <w:rPr/>
      </w:pPr>
      <w:r>
        <w:rPr>
          <w:rFonts w:cs="FrankRuehl" w:ascii="FrankRuehl" w:hAnsi="FrankRuehl"/>
          <w:color w:val="FFFFFF"/>
          <w:sz w:val="2"/>
          <w:szCs w:val="2"/>
        </w:rPr>
        <w:t>5129371</w:t>
      </w:r>
      <w:r>
        <w:rPr>
          <w:rFonts w:cs="FrankRuehl" w:ascii="FrankRuehl" w:hAnsi="FrankRuehl"/>
          <w:color w:val="000000"/>
          <w:sz w:val="28"/>
          <w:szCs w:val="28"/>
        </w:rPr>
        <w:t>2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.         </w:t>
      </w:r>
      <w:r>
        <w:rPr>
          <w:rFonts w:cs="FrankRuehl" w:ascii="FrankRuehl" w:hAnsi="FrankRuehl"/>
          <w:color w:val="000000"/>
          <w:sz w:val="28"/>
          <w:szCs w:val="28"/>
        </w:rPr>
        <w:t>10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חודשי מאסר על תנאי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שלא ירוצו אלא אם כן הנאשם יעבור עבירת נשק כלשהי בתקופה של </w:t>
      </w:r>
      <w:r>
        <w:rPr>
          <w:rFonts w:cs="FrankRuehl" w:ascii="FrankRuehl" w:hAnsi="FrankRuehl"/>
          <w:color w:val="000000"/>
          <w:sz w:val="28"/>
          <w:szCs w:val="28"/>
        </w:rPr>
        <w:t>3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שנים ממועד שחרורו ממאסר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240"/>
        <w:ind w:hanging="720" w:start="720" w:end="0"/>
        <w:jc w:val="both"/>
        <w:rPr>
          <w:rFonts w:ascii="FrankRuehl" w:hAnsi="FrankRuehl" w:cs="FrankRuehl"/>
          <w:color w:val="FFFFFF"/>
          <w:sz w:val="2"/>
          <w:szCs w:val="2"/>
        </w:rPr>
      </w:pPr>
      <w:r>
        <w:rPr>
          <w:rFonts w:cs="FrankRuehl" w:ascii="FrankRuehl" w:hAnsi="FrankRuehl"/>
          <w:color w:val="FFFFFF"/>
          <w:sz w:val="2"/>
          <w:szCs w:val="2"/>
        </w:rPr>
        <w:t>54678313</w:t>
      </w:r>
    </w:p>
    <w:p>
      <w:pPr>
        <w:pStyle w:val="Normal"/>
        <w:spacing w:lineRule="auto" w:line="360" w:before="0" w:after="240"/>
        <w:ind w:end="0"/>
        <w:jc w:val="both"/>
        <w:rPr>
          <w:rFonts w:ascii="FrankRuehl" w:hAnsi="FrankRuehl" w:cs="FrankRuehl"/>
          <w:color w:val="000000"/>
          <w:sz w:val="28"/>
          <w:szCs w:val="28"/>
        </w:rPr>
      </w:pP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זכות ערעור לבית המשפט העליון בתוך </w:t>
      </w:r>
      <w:r>
        <w:rPr>
          <w:rFonts w:cs="FrankRuehl" w:ascii="FrankRuehl" w:hAnsi="FrankRuehl"/>
          <w:color w:val="000000"/>
          <w:sz w:val="28"/>
          <w:szCs w:val="28"/>
        </w:rPr>
        <w:t>45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יום מהיום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240"/>
        <w:ind w:end="0"/>
        <w:jc w:val="both"/>
        <w:rPr>
          <w:rFonts w:ascii="FrankRuehl" w:hAnsi="FrankRuehl" w:cs="FrankRuehl"/>
          <w:color w:val="000000"/>
          <w:sz w:val="28"/>
          <w:szCs w:val="28"/>
        </w:rPr>
      </w:pPr>
      <w:bookmarkStart w:id="10" w:name="Nitan"/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ניתן היום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ג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'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תשרי תשפ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"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ב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 w:ascii="FrankRuehl" w:hAnsi="FrankRuehl"/>
          <w:color w:val="000000"/>
          <w:sz w:val="28"/>
          <w:szCs w:val="28"/>
        </w:rPr>
        <w:t>09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ספטמבר </w:t>
      </w:r>
      <w:r>
        <w:rPr>
          <w:rFonts w:cs="FrankRuehl" w:ascii="FrankRuehl" w:hAnsi="FrankRuehl"/>
          <w:color w:val="000000"/>
          <w:sz w:val="28"/>
          <w:szCs w:val="28"/>
        </w:rPr>
        <w:t>2021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במעמד המתייצבים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. </w:t>
      </w:r>
      <w:bookmarkEnd w:id="10"/>
    </w:p>
    <w:p>
      <w:pPr>
        <w:pStyle w:val="Normal"/>
        <w:ind w:end="0"/>
        <w:jc w:val="start"/>
        <w:rPr>
          <w:rFonts w:ascii="FrankRuehl" w:hAnsi="FrankRuehl" w:cs="FrankRuehl"/>
          <w:color w:val="000000"/>
          <w:sz w:val="28"/>
          <w:szCs w:val="28"/>
        </w:rPr>
      </w:pPr>
      <w:r>
        <w:rPr>
          <w:rFonts w:cs="FrankRuehl" w:ascii="FrankRuehl" w:hAnsi="FrankRuehl"/>
          <w:color w:val="000000"/>
          <w:sz w:val="28"/>
          <w:szCs w:val="28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9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אילן סלע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/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  <w:r>
        <w:rPr>
          <w:rFonts w:cs="Times New Roman"/>
          <w:color w:val="0000FF"/>
          <w:u w:val="single"/>
          <w:rtl w:val="true"/>
        </w:rPr>
        <w:t xml:space="preserve">  </w:t>
      </w:r>
    </w:p>
    <w:sectPr>
      <w:headerReference w:type="default" r:id="rId30"/>
      <w:footerReference w:type="default" r:id="rId31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11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24822-01-21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מוסא עבאסי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5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/144.b" TargetMode="External"/><Relationship Id="rId6" Type="http://schemas.openxmlformats.org/officeDocument/2006/relationships/hyperlink" Target="http://www.nevo.co.il/law/70301/340a.a" TargetMode="External"/><Relationship Id="rId7" Type="http://schemas.openxmlformats.org/officeDocument/2006/relationships/hyperlink" Target="http://www.nevo.co.il/law/70301/340a.a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law/70301/144.b" TargetMode="External"/><Relationship Id="rId10" Type="http://schemas.openxmlformats.org/officeDocument/2006/relationships/hyperlink" Target="http://www.nevo.co.il/law/70301/144.b" TargetMode="External"/><Relationship Id="rId11" Type="http://schemas.openxmlformats.org/officeDocument/2006/relationships/hyperlink" Target="http://www.nevo.co.il/law/70301/144.a" TargetMode="External"/><Relationship Id="rId12" Type="http://schemas.openxmlformats.org/officeDocument/2006/relationships/hyperlink" Target="http://www.nevo.co.il/law/70301/144.a" TargetMode="External"/><Relationship Id="rId13" Type="http://schemas.openxmlformats.org/officeDocument/2006/relationships/hyperlink" Target="http://www.nevo.co.il/law/70301/25" TargetMode="External"/><Relationship Id="rId14" Type="http://schemas.openxmlformats.org/officeDocument/2006/relationships/hyperlink" Target="http://www.nevo.co.il/case/27567095" TargetMode="External"/><Relationship Id="rId15" Type="http://schemas.openxmlformats.org/officeDocument/2006/relationships/hyperlink" Target="http://www.nevo.co.il/case/27708542" TargetMode="External"/><Relationship Id="rId16" Type="http://schemas.openxmlformats.org/officeDocument/2006/relationships/hyperlink" Target="http://www.nevo.co.il/case/26747892" TargetMode="External"/><Relationship Id="rId17" Type="http://schemas.openxmlformats.org/officeDocument/2006/relationships/hyperlink" Target="http://www.nevo.co.il/case/26888657" TargetMode="External"/><Relationship Id="rId18" Type="http://schemas.openxmlformats.org/officeDocument/2006/relationships/hyperlink" Target="http://www.nevo.co.il/case/25824863" TargetMode="External"/><Relationship Id="rId19" Type="http://schemas.openxmlformats.org/officeDocument/2006/relationships/hyperlink" Target="http://www.nevo.co.il/case/27567095" TargetMode="External"/><Relationship Id="rId20" Type="http://schemas.openxmlformats.org/officeDocument/2006/relationships/hyperlink" Target="http://www.nevo.co.il/case/13093721" TargetMode="External"/><Relationship Id="rId21" Type="http://schemas.openxmlformats.org/officeDocument/2006/relationships/hyperlink" Target="http://www.nevo.co.il/case/13015506" TargetMode="External"/><Relationship Id="rId22" Type="http://schemas.openxmlformats.org/officeDocument/2006/relationships/hyperlink" Target="http://www.nevo.co.il/case/26568495" TargetMode="External"/><Relationship Id="rId23" Type="http://schemas.openxmlformats.org/officeDocument/2006/relationships/hyperlink" Target="http://www.nevo.co.il/case/25543800" TargetMode="External"/><Relationship Id="rId24" Type="http://schemas.openxmlformats.org/officeDocument/2006/relationships/hyperlink" Target="http://www.nevo.co.il/case/26714559" TargetMode="External"/><Relationship Id="rId25" Type="http://schemas.openxmlformats.org/officeDocument/2006/relationships/hyperlink" Target="http://www.nevo.co.il/case/22739459" TargetMode="External"/><Relationship Id="rId26" Type="http://schemas.openxmlformats.org/officeDocument/2006/relationships/hyperlink" Target="http://www.nevo.co.il/case/20978035" TargetMode="External"/><Relationship Id="rId27" Type="http://schemas.openxmlformats.org/officeDocument/2006/relationships/hyperlink" Target="http://www.nevo.co.il/case/23169485" TargetMode="External"/><Relationship Id="rId28" Type="http://schemas.openxmlformats.org/officeDocument/2006/relationships/hyperlink" Target="http://www.nevo.co.il/case/23177651" TargetMode="External"/><Relationship Id="rId29" Type="http://schemas.openxmlformats.org/officeDocument/2006/relationships/hyperlink" Target="http://www.nevo.co.il/advertisements/nevo-100.doc" TargetMode="External"/><Relationship Id="rId30" Type="http://schemas.openxmlformats.org/officeDocument/2006/relationships/header" Target="header1.xml"/><Relationship Id="rId31" Type="http://schemas.openxmlformats.org/officeDocument/2006/relationships/footer" Target="footer1.xml"/><Relationship Id="rId32" Type="http://schemas.openxmlformats.org/officeDocument/2006/relationships/fontTable" Target="fontTable.xml"/><Relationship Id="rId33" Type="http://schemas.openxmlformats.org/officeDocument/2006/relationships/settings" Target="settings.xml"/><Relationship Id="rId34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2022-11-20T12:29:00Z</dcterms:created>
  <dc:creator> </dc:creator>
  <dc:description/>
  <cp:keywords/>
  <dc:language>en-IL</dc:language>
  <cp:lastModifiedBy>h1</cp:lastModifiedBy>
  <dcterms:modified xsi:type="dcterms:W3CDTF">2022-11-20T12:29:00Z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מוסא עבאסי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27567095:2;27708542;26747892;26888657;25824863;13093721;13015506;26568495;25543800;26714559;22739459;20978035;23169485;23177651</vt:lpwstr>
  </property>
  <property fmtid="{D5CDD505-2E9C-101B-9397-08002B2CF9AE}" pid="9" name="CITY">
    <vt:lpwstr>י-ם</vt:lpwstr>
  </property>
  <property fmtid="{D5CDD505-2E9C-101B-9397-08002B2CF9AE}" pid="10" name="DATE">
    <vt:lpwstr>20210909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אילן סלע</vt:lpwstr>
  </property>
  <property fmtid="{D5CDD505-2E9C-101B-9397-08002B2CF9AE}" pid="14" name="LAWLISTTMP1">
    <vt:lpwstr>70301/340a.a;144.b:2;144.a:2;025</vt:lpwstr>
  </property>
  <property fmtid="{D5CDD505-2E9C-101B-9397-08002B2CF9AE}" pid="15" name="LAWYER">
    <vt:lpwstr>מרים בן גל;בדריה עותמאן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24822</vt:lpwstr>
  </property>
  <property fmtid="{D5CDD505-2E9C-101B-9397-08002B2CF9AE}" pid="22" name="NEWPARTB">
    <vt:lpwstr>01</vt:lpwstr>
  </property>
  <property fmtid="{D5CDD505-2E9C-101B-9397-08002B2CF9AE}" pid="23" name="NEWPARTC">
    <vt:lpwstr>21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390020210909</vt:lpwstr>
  </property>
  <property fmtid="{D5CDD505-2E9C-101B-9397-08002B2CF9AE}" pid="34" name="TYPE_N_DATE">
    <vt:lpwstr>39020210909</vt:lpwstr>
  </property>
  <property fmtid="{D5CDD505-2E9C-101B-9397-08002B2CF9AE}" pid="35" name="VOLUME">
    <vt:lpwstr/>
  </property>
  <property fmtid="{D5CDD505-2E9C-101B-9397-08002B2CF9AE}" pid="36" name="WORDNUMPAGES">
    <vt:lpwstr>10</vt:lpwstr>
  </property>
</Properties>
</file>