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24839-02-11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24874-02-11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ליה לב און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חמודי בדיר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פאר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זאב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וישניא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color w:val="FF0000"/>
          <w:sz w:val="28"/>
        </w:rPr>
      </w:pP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במסמך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זה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הושמטו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פרוטוקול</w:t>
      </w:r>
      <w:bookmarkStart w:id="3" w:name="LawTable"/>
      <w:bookmarkEnd w:id="3"/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  <w:color w:val="FF0000"/>
          <w:sz w:val="28"/>
        </w:rPr>
      </w:pPr>
      <w:r>
        <w:rPr>
          <w:rFonts w:eastAsia="David" w:cs="FrankRuehl" w:ascii="FrankRuehl" w:hAnsi="FrankRuehl"/>
          <w:color w:val="FF0000"/>
          <w:sz w:val="28"/>
          <w:rtl w:val="true"/>
        </w:rPr>
      </w:r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  <w:color w:val="FF0000"/>
        </w:rPr>
      </w:pPr>
      <w:r>
        <w:rPr>
          <w:rFonts w:ascii="FrankRuehl" w:hAnsi="FrankRuehl" w:eastAsia="David" w:cs="FrankRuehl"/>
          <w:color w:val="FF0000"/>
          <w:rtl w:val="true"/>
        </w:rPr>
        <w:t>חקיקה שאוזכרה</w:t>
      </w:r>
      <w:r>
        <w:rPr>
          <w:rFonts w:eastAsia="David" w:cs="FrankRuehl" w:ascii="FrankRuehl" w:hAnsi="FrankRuehl"/>
          <w:color w:val="FF0000"/>
          <w:rtl w:val="true"/>
        </w:rPr>
        <w:t xml:space="preserve">: </w:t>
      </w:r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275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</w:rPr>
      </w:pPr>
      <w:hyperlink r:id="rId8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</w:rPr>
      </w:pPr>
      <w:hyperlink r:id="rId10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1970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-p"/>
        <w:bidi w:val="1"/>
        <w:spacing w:lineRule="exact" w:line="240" w:before="280" w:after="120"/>
        <w:ind w:hanging="283" w:start="283" w:end="765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sz w:val="28"/>
        </w:rPr>
      </w:pPr>
      <w:r>
        <w:rPr>
          <w:rFonts w:eastAsia="David" w:cs="David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color w:val="FF0000"/>
          <w:sz w:val="28"/>
        </w:rPr>
      </w:pPr>
      <w:r>
        <w:rPr>
          <w:rFonts w:eastAsia="David" w:cs="David" w:ascii="Arial" w:hAnsi="Arial"/>
          <w:b/>
          <w:color w:val="FF0000"/>
          <w:sz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FrankRuehl" w:hAnsi="FrankRuehl" w:eastAsia="David" w:cs="FrankRuehl"/>
        </w:rPr>
      </w:pP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י</w:t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sz w:val="28"/>
        </w:rPr>
      </w:pPr>
      <w:r>
        <w:rPr>
          <w:rFonts w:eastAsia="David" w:cs="David" w:ascii="Arial" w:hAnsi="Arial"/>
          <w:sz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color w:val="FF0000"/>
          <w:sz w:val="28"/>
        </w:rPr>
      </w:pPr>
      <w:r>
        <w:rPr>
          <w:rFonts w:eastAsia="David" w:cs="David" w:ascii="Arial" w:hAnsi="Arial"/>
          <w:b/>
          <w:color w:val="FF0000"/>
          <w:sz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FrankRuehl" w:hAnsi="FrankRuehl" w:eastAsia="David" w:cs="FrankRuehl"/>
        </w:rPr>
      </w:pP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sz w:val="28"/>
          <w:szCs w:val="28"/>
        </w:rPr>
      </w:pPr>
      <w:r>
        <w:rPr>
          <w:rFonts w:eastAsia="David" w:cs="David" w:ascii="Arial" w:hAnsi="Arial"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ind w:hanging="360" w:end="765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-p"/>
        <w:bidi w:val="1"/>
        <w:ind w:hanging="360" w:end="765"/>
        <w:jc w:val="both"/>
        <w:rPr/>
      </w:pPr>
      <w:bookmarkStart w:id="7" w:name="PsakDin"/>
      <w:bookmarkEnd w:id="7"/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חמודי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יליד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1992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David"/>
          <w:b/>
          <w:b/>
          <w:bCs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"),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25.9.11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הודייתו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מתוקן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מיוחסת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29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David"/>
          <w:b/>
          <w:b/>
          <w:bCs/>
          <w:rtl w:val="true"/>
        </w:rPr>
        <w:t>החוק</w:t>
      </w:r>
      <w:r>
        <w:rPr>
          <w:rStyle w:val="normal-h"/>
          <w:rFonts w:cs="David"/>
          <w:rtl w:val="true"/>
        </w:rPr>
        <w:t xml:space="preserve">"),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פזיזות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ורשלנות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338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10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8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התעבורה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נוסח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חדש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פוליסת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9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0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ביטוח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רכב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מנועי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נוסח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חדש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תש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1970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המפורטות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המתוקן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7.2.11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23:30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פוליסת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סובארו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לגאסי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Fonts w:cs="David"/>
          <w:rtl w:val="true"/>
        </w:rPr>
        <w:t>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62-351-03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ברחובות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פריג</w:t>
      </w:r>
      <w:r>
        <w:rPr>
          <w:rStyle w:val="normal-h"/>
          <w:rFonts w:cs="David"/>
          <w:rtl w:val="true"/>
        </w:rPr>
        <w:t xml:space="preserve">', </w:t>
      </w:r>
      <w:r>
        <w:rPr>
          <w:rStyle w:val="normal-h"/>
          <w:rFonts w:cs="David"/>
          <w:rtl w:val="true"/>
        </w:rPr>
        <w:t>ובמושב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נוסף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ניידת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הבחינה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כרזה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לעצור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לדרישות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השוטרים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נמהרת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ברחובות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הניידת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דלקה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ומשהגיע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צדדית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נמלטו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וחמקו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מרדף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נתפס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ובחיפוש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מתקבעת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כחוק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השטיח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שלרגלי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הנוסע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0.22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</w:rPr>
        <w:t>A461470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ובתוכו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המהווים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להחזקתו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ind w:hanging="360" w:end="765"/>
        <w:jc w:val="both"/>
        <w:rPr/>
      </w:pPr>
      <w:r>
        <w:rPr>
          <w:rStyle w:val="normal-h"/>
        </w:rPr>
        <w:t>2</w:t>
      </w:r>
      <w:r>
        <w:rPr>
          <w:rStyle w:val="normal-h"/>
          <w:rtl w:val="true"/>
        </w:rPr>
        <w:t xml:space="preserve">. </w:t>
      </w:r>
      <w:r>
        <w:rPr>
          <w:rStyle w:val="normal-h"/>
          <w:rFonts w:cs="David"/>
          <w:rtl w:val="true"/>
        </w:rPr>
        <w:t>משהודה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נלמד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לימוד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לדבריו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כאנאלפבית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והשתלב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מזדמנות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נמסר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להתייחס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הכחיש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התאפק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קשייו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ונמלט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תפס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סגירות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פרטים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סותרים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מורכבות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לעצירת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ההידרדרות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יעילות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בהתערבות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ונמנעה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hanging="360" w:end="765"/>
        <w:jc w:val="both"/>
        <w:rPr/>
      </w:pPr>
      <w:r>
        <w:rPr>
          <w:rStyle w:val="normal-h"/>
        </w:rPr>
        <w:t>3</w:t>
      </w:r>
      <w:r>
        <w:rPr>
          <w:rStyle w:val="normal-h"/>
          <w:rtl w:val="true"/>
        </w:rPr>
        <w:t xml:space="preserve">. </w:t>
      </w:r>
      <w:r>
        <w:rPr>
          <w:rStyle w:val="normal-h"/>
          <w:rFonts w:cs="David"/>
          <w:rtl w:val="true"/>
        </w:rPr>
        <w:t>בטיעוניו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שעברם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מחמירה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זלזול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אכיפ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נגזר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כנלמד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ממרכזיותו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שליטתו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שליטתו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בהחלטה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כנהג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והצלחתו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קשות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ומרתיע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וישניא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ההודיה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הסגיר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וחצי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מקלה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לטענתו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דומיננטי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מהודיית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ומעורבותו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כלכלית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לשלמו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והצהיר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יעבוד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hanging="360" w:end="765"/>
        <w:jc w:val="both"/>
        <w:rPr/>
      </w:pPr>
      <w:r>
        <w:rPr>
          <w:rStyle w:val="normal-h"/>
        </w:rPr>
        <w:t>4</w:t>
      </w:r>
      <w:r>
        <w:rPr>
          <w:rStyle w:val="normal-h"/>
          <w:rtl w:val="true"/>
        </w:rPr>
        <w:t xml:space="preserve">.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הסכנה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ויסכן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שלומם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וביטחונם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אזרחים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תמימים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נחיצות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ההרתעה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מחמירה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שעברם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נקי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2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2004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ruller5-p"/>
        <w:bidi w:val="1"/>
        <w:ind w:start="1644" w:end="1281"/>
        <w:jc w:val="both"/>
        <w:rPr/>
      </w:pPr>
      <w:r>
        <w:rPr>
          <w:rStyle w:val="ruller5-h1"/>
          <w:rFonts w:cs="David"/>
          <w:sz w:val="24"/>
          <w:szCs w:val="24"/>
          <w:rtl w:val="true"/>
        </w:rPr>
        <w:t>"</w:t>
      </w:r>
      <w:r>
        <w:rPr>
          <w:rStyle w:val="ruller5-h1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הטמונה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החמורה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מצדיקה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הטלת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שזו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עבירתו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Style w:val="ruller5-h1"/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Style w:val="ruller5-h1"/>
          <w:rFonts w:cs="David"/>
          <w:b/>
          <w:bCs/>
          <w:sz w:val="24"/>
          <w:szCs w:val="24"/>
          <w:rtl w:val="true"/>
        </w:rPr>
        <w:t>-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ruller5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נכבד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לאינטרס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ולצורך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מלבצע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Style w:val="ruller5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ruller5-h1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ruller5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-h1"/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Style w:val="ruller5-h1"/>
          <w:rtl w:val="true"/>
        </w:rPr>
        <w:t xml:space="preserve"> </w:t>
      </w:r>
      <w:r>
        <w:rPr>
          <w:rStyle w:val="ruller5-h1"/>
          <w:rFonts w:cs="David"/>
          <w:sz w:val="24"/>
          <w:szCs w:val="24"/>
          <w:rtl w:val="true"/>
        </w:rPr>
        <w:t xml:space="preserve">". </w:t>
      </w:r>
    </w:p>
    <w:p>
      <w:pPr>
        <w:pStyle w:val="normal-p"/>
        <w:bidi w:val="1"/>
        <w:ind w:end="720"/>
        <w:jc w:val="start"/>
        <w:rPr/>
      </w:pPr>
      <w:r>
        <w:rPr>
          <w:rStyle w:val="normal-h"/>
          <w:rFonts w:cs="David"/>
          <w:rtl w:val="true"/>
        </w:rPr>
        <w:t>וכמו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</w:t>
      </w:r>
      <w:hyperlink r:id="rId2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761/07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מיכאל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תק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2007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</w:rPr>
        <w:t>3416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</w:rPr>
        <w:t>2007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ind w:start="720" w:end="1440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ניסיון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מלמד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המוחזק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מוצא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דרכו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לעתים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עוינות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ולעתים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נעשה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שימוש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גרמו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אחת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לאובדן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ולפגיעה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בחפים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מפשע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חטאם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b/>
          <w:b/>
          <w:bCs/>
          <w:rtl w:val="true"/>
        </w:rPr>
        <w:t>נבע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נקלעו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לזירת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הפשע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להלחם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צריך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לבטא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סלידתה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החברה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ודעתה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הנחרצת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להשלים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בכלל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בפרט</w:t>
      </w:r>
      <w:r>
        <w:rPr>
          <w:rStyle w:val="normal-h"/>
          <w:rFonts w:cs="David"/>
          <w:b/>
          <w:bCs/>
          <w:rtl w:val="true"/>
        </w:rPr>
        <w:t>."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שהגישו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עיינתי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ופניה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ולקולא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בגדרם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ובתוכו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בכביש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הסכנה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וביטחונו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הולמת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בהכרח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לעצירת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ההידרדרות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יווחיו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הסותרים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התוצאה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זלזול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ומכאן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שמעולם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שכרזו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ּ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לעצור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משעצר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היסס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רגלית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ובהמשך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כששוחרר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נרתע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מלמעול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ההודיה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החיסכון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שהתרשמתי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לשהות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נטען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הובאו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בהינתן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ומשנגזר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שלפניי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הוטלו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פריג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מותנה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4,000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בעניין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כאמור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נוספו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לנהיגה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לפיכך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פחות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מהטעמים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ברכבו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מהשוטרים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ביטוח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והסגיר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בחלוף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בנוסף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נוספות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פזיזות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ורשלנות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פוליסת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ביטוח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התרשמתי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ובשקלול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ההודיה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מצאתי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שבין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 </w:t>
      </w:r>
      <w:r>
        <w:rPr/>
        <w:t>09/02/11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03/03/11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 </w:t>
      </w:r>
      <w:r>
        <w:rPr>
          <w:rtl w:val="true"/>
        </w:rPr>
        <w:t xml:space="preserve">וכן </w:t>
      </w:r>
      <w:r>
        <w:rPr/>
        <w:t>29/11/11</w:t>
      </w:r>
      <w:r>
        <w:rPr>
          <w:rtl w:val="true"/>
        </w:rPr>
        <w:t xml:space="preserve"> </w:t>
      </w:r>
      <w:r>
        <w:rPr>
          <w:rtl w:val="true"/>
        </w:rPr>
        <w:t>ועד היום כולל</w:t>
      </w:r>
      <w:r>
        <w:rPr>
          <w:rtl w:val="true"/>
        </w:rPr>
        <w:t>.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</w:rPr>
          <w:t>144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 xml:space="preserve">. </w:t>
      </w:r>
      <w:r>
        <w:rPr>
          <w:rStyle w:val="normal-h"/>
          <w:rFonts w:cs="David"/>
          <w:rtl w:val="true"/>
        </w:rPr>
        <w:t>שישה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במילוי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תפקידו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</w:rPr>
          <w:t>275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פזיזות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ורשלנות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338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 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ביטוח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Fonts w:cs="David"/>
          <w:rtl w:val="true"/>
        </w:rPr>
        <w:t>ד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3,000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תחתיו</w:t>
      </w:r>
      <w:r>
        <w:rPr>
          <w:rStyle w:val="normal-h"/>
          <w:rFonts w:cs="David"/>
          <w:rtl w:val="true"/>
        </w:rPr>
        <w:t xml:space="preserve">; </w:t>
      </w:r>
      <w:r>
        <w:rPr>
          <w:rtl w:val="true"/>
        </w:rPr>
        <w:t>פיקדון שבתיק</w:t>
      </w:r>
      <w:r>
        <w:rPr>
          <w:rtl w:val="true"/>
        </w:rPr>
        <w:t xml:space="preserve">, </w:t>
      </w:r>
      <w:r>
        <w:rPr>
          <w:rtl w:val="true"/>
        </w:rPr>
        <w:t>בהסכמה שניתנת במעמד זה</w:t>
      </w:r>
      <w:r>
        <w:rPr>
          <w:rtl w:val="true"/>
        </w:rPr>
        <w:t xml:space="preserve">, </w:t>
      </w:r>
      <w:r>
        <w:rPr>
          <w:rtl w:val="true"/>
        </w:rPr>
        <w:t>יקוזז מן הקנס</w:t>
      </w:r>
      <w:r>
        <w:rPr>
          <w:rtl w:val="true"/>
        </w:rPr>
        <w:t xml:space="preserve">. </w:t>
      </w:r>
      <w:r>
        <w:rPr>
          <w:rtl w:val="true"/>
        </w:rPr>
        <w:t>את יתרת הקנס</w:t>
      </w:r>
      <w:r>
        <w:rPr>
          <w:rtl w:val="true"/>
        </w:rPr>
        <w:t xml:space="preserve">, </w:t>
      </w:r>
      <w:r>
        <w:rPr>
          <w:rtl w:val="true"/>
        </w:rPr>
        <w:t>ישלם הנאשם חודש לאחר שחרורו מן המאסר</w:t>
      </w:r>
      <w:r>
        <w:rPr>
          <w:rtl w:val="true"/>
        </w:rPr>
        <w:t>.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Fonts w:cs="David"/>
          <w:rtl w:val="true"/>
        </w:rPr>
        <w:t>ה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מלנהוג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מניין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before="280" w:after="240"/>
        <w:ind w:hanging="360" w:end="2160"/>
        <w:jc w:val="both"/>
        <w:rPr/>
      </w:pP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מוטלים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שמניינם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השלילה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התעבורה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8">
        <w:r>
          <w:rPr>
            <w:rStyle w:val="Hyperlink"/>
            <w:rFonts w:cs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</w:rPr>
          <w:t>338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יחולט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tl w:val="true"/>
        </w:rPr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זכות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ערעור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המחוזי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לבקשת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תועבר הסכמה לעניין חילוט הרכב עד ליום </w:t>
      </w:r>
      <w:r>
        <w:rPr/>
        <w:t>30/01/12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 יתקיים דיון</w:t>
      </w:r>
      <w:r>
        <w:rPr>
          <w:rtl w:val="true"/>
        </w:rPr>
        <w:t xml:space="preserve">, </w:t>
      </w:r>
      <w:r>
        <w:rPr>
          <w:rtl w:val="true"/>
        </w:rPr>
        <w:t>אין צורך להביא 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החלטת ביהמ</w:t>
      </w:r>
      <w:r>
        <w:rPr>
          <w:rtl w:val="true"/>
        </w:rPr>
        <w:t>"</w:t>
      </w:r>
      <w:r>
        <w:rPr>
          <w:rtl w:val="true"/>
        </w:rPr>
        <w:t>ש תינתן בתיק ללא תזכורת נוספות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&lt;</w:t>
      </w:r>
      <w:r>
        <w:rPr/>
        <w:t>#6#</w:t>
      </w:r>
      <w:r>
        <w:rPr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 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 טבת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22/01/2012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24839-02-11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חמודי בדיר</w:t>
    </w:r>
  </w:p>
</w:hdr>
</file>

<file path=word/settings.xml><?xml version="1.0" encoding="utf-8"?>
<w:settings xmlns:w="http://schemas.openxmlformats.org/wordprocessingml/2006/main">
  <w:zoom w:percent="69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ruller5-h1">
    <w:name w:val="ruller5-h1"/>
    <w:qFormat/>
    <w:rPr>
      <w:rFonts w:ascii="Arial TUR;Arial" w:hAnsi="Arial TUR;Arial" w:cs="Arial TUR;Arial"/>
      <w:spacing w:val="10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ruller5-p">
    <w:name w:val="ruller5-p"/>
    <w:basedOn w:val="Normal"/>
    <w:qFormat/>
    <w:pPr>
      <w:overflowPunct w:val="false"/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9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5227/10.a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74501/2.a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8.a.1" TargetMode="External"/><Relationship Id="rId28" Type="http://schemas.openxmlformats.org/officeDocument/2006/relationships/hyperlink" Target="http://www.nevo.co.il/law/70301/338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2016-05-03T12:05:00Z</dcterms:created>
  <dc:creator> </dc:creator>
  <dc:description/>
  <cp:keywords/>
  <dc:language>en-IL</dc:language>
  <cp:lastModifiedBy>miri</cp:lastModifiedBy>
  <dcterms:modified xsi:type="dcterms:W3CDTF">2016-05-03T12:05:00Z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חמודי בדיר</vt:lpwstr>
  </property>
  <property fmtid="{D5CDD505-2E9C-101B-9397-08002B2CF9AE}" pid="4" name="CASESLISTTMP1">
    <vt:lpwstr>5852404</vt:lpwstr>
  </property>
  <property fmtid="{D5CDD505-2E9C-101B-9397-08002B2CF9AE}" pid="5" name="CITY">
    <vt:lpwstr>פ"ת</vt:lpwstr>
  </property>
  <property fmtid="{D5CDD505-2E9C-101B-9397-08002B2CF9AE}" pid="6" name="DATE">
    <vt:lpwstr>20120122</vt:lpwstr>
  </property>
  <property fmtid="{D5CDD505-2E9C-101B-9397-08002B2CF9AE}" pid="7" name="JUDGE">
    <vt:lpwstr>ליה לב און</vt:lpwstr>
  </property>
  <property fmtid="{D5CDD505-2E9C-101B-9397-08002B2CF9AE}" pid="8" name="LAWLISTTMP1">
    <vt:lpwstr>70301/144.a;029.b;275:2;338.a.1:3;144</vt:lpwstr>
  </property>
  <property fmtid="{D5CDD505-2E9C-101B-9397-08002B2CF9AE}" pid="9" name="LAWLISTTMP2">
    <vt:lpwstr>5227/010.a</vt:lpwstr>
  </property>
  <property fmtid="{D5CDD505-2E9C-101B-9397-08002B2CF9AE}" pid="10" name="LAWLISTTMP3">
    <vt:lpwstr>74501/002.a</vt:lpwstr>
  </property>
  <property fmtid="{D5CDD505-2E9C-101B-9397-08002B2CF9AE}" pid="11" name="LAWYER">
    <vt:lpwstr>פאר;הובא;הובא שב"ס</vt:lpwstr>
  </property>
  <property fmtid="{D5CDD505-2E9C-101B-9397-08002B2CF9AE}" pid="12" name="NEWPARTA">
    <vt:lpwstr>24839</vt:lpwstr>
  </property>
  <property fmtid="{D5CDD505-2E9C-101B-9397-08002B2CF9AE}" pid="13" name="NEWPARTB">
    <vt:lpwstr>02</vt:lpwstr>
  </property>
  <property fmtid="{D5CDD505-2E9C-101B-9397-08002B2CF9AE}" pid="14" name="NEWPARTC">
    <vt:lpwstr>11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380020120122</vt:lpwstr>
  </property>
  <property fmtid="{D5CDD505-2E9C-101B-9397-08002B2CF9AE}" pid="19" name="TYPE_N_DATE">
    <vt:lpwstr>38020120122</vt:lpwstr>
  </property>
  <property fmtid="{D5CDD505-2E9C-101B-9397-08002B2CF9AE}" pid="20" name="WORDNUMPAGES">
    <vt:lpwstr>6</vt:lpwstr>
  </property>
</Properties>
</file>