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בפתח תקווה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24964-09-11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גלר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24974-09-11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 דבורה עטר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מאשימה  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נאשם 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דניאל גלר </w:t>
            </w:r>
            <w:r>
              <w:rPr>
                <w:rFonts w:eastAsia="Times New Roman" w:cs="Times New Roman" w:ascii="Times New Roman" w:hAnsi="Times New Roman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  <w:t xml:space="preserve">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–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רעות אבירי</w:t>
      </w:r>
      <w:r>
        <w:rPr>
          <w:b w:val="false"/>
          <w:bCs w:val="false"/>
          <w:u w:val="none"/>
          <w:rtl w:val="true"/>
        </w:rPr>
        <w:br/>
      </w: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</w:t>
      </w:r>
      <w:r>
        <w:rPr>
          <w:u w:val="none"/>
          <w:rtl w:val="true"/>
        </w:rPr>
        <w:t xml:space="preserve">שגיא </w:t>
      </w:r>
      <w:r>
        <w:rPr>
          <w:b w:val="false"/>
          <w:b w:val="false"/>
          <w:bCs w:val="false"/>
          <w:u w:val="none"/>
          <w:rtl w:val="true"/>
        </w:rPr>
        <w:t xml:space="preserve"> </w:t>
      </w:r>
      <w:r>
        <w:rPr>
          <w:u w:val="none"/>
          <w:rtl w:val="true"/>
        </w:rPr>
        <w:t xml:space="preserve">זני </w:t>
      </w:r>
      <w:r>
        <w:rPr>
          <w:b w:val="false"/>
          <w:b w:val="false"/>
          <w:bCs w:val="false"/>
          <w:u w:val="none"/>
          <w:rtl w:val="true"/>
        </w:rPr>
        <w:t xml:space="preserve">  </w:t>
      </w:r>
    </w:p>
    <w:p>
      <w:pPr>
        <w:pStyle w:val="12"/>
        <w:ind w:end="0"/>
        <w:jc w:val="start"/>
        <w:rPr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הובא ע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י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sz w:val="4"/>
          <w:szCs w:val="4"/>
          <w:u w:val="none"/>
        </w:rPr>
      </w:pPr>
      <w:r>
        <w:rPr>
          <w:b w:val="false"/>
          <w:bCs w:val="false"/>
          <w:sz w:val="4"/>
          <w:szCs w:val="4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color w:val="FF0000"/>
          <w:sz w:val="28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במסמך זה הושמטו פרוטוקולי</w:t>
      </w:r>
      <w:bookmarkStart w:id="3" w:name="LawTable"/>
      <w:bookmarkEnd w:id="3"/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color w:val="FF0000"/>
          <w:sz w:val="28"/>
        </w:rPr>
      </w:pPr>
      <w:r>
        <w:rPr>
          <w:rFonts w:eastAsia="David" w:cs="FrankRuehl" w:ascii="FrankRuehl" w:hAnsi="FrankRuehl"/>
          <w:color w:val="FF0000"/>
          <w:sz w:val="28"/>
          <w:rtl w:val="true"/>
        </w:rPr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color w:val="FF0000"/>
        </w:rPr>
      </w:pPr>
      <w:r>
        <w:rPr>
          <w:rFonts w:ascii="FrankRuehl" w:hAnsi="FrankRuehl" w:eastAsia="David" w:cs="FrankRuehl"/>
          <w:color w:val="FF0000"/>
          <w:rtl w:val="true"/>
        </w:rPr>
        <w:t>חקיקה שאוזכרה</w:t>
      </w:r>
      <w:r>
        <w:rPr>
          <w:rFonts w:eastAsia="David" w:cs="FrankRuehl" w:ascii="FrankRuehl" w:hAnsi="FrankRuehl"/>
          <w:color w:val="FF0000"/>
          <w:rtl w:val="true"/>
        </w:rPr>
        <w:t xml:space="preserve">: </w:t>
      </w:r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2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1977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244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וב ד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פרק י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David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sz w:val="28"/>
        </w:rPr>
      </w:pPr>
      <w:r>
        <w:rPr>
          <w:rFonts w:eastAsia="David" w:cs="Arial" w:ascii="Arial" w:hAnsi="Arial"/>
          <w:sz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David"/>
        <w:ind w:end="0"/>
        <w:jc w:val="center"/>
        <w:rPr>
          <w:rFonts w:ascii="Arial" w:hAnsi="Arial" w:eastAsia="David" w:cs="Arial"/>
          <w:b/>
          <w:color w:val="FF0000"/>
          <w:sz w:val="28"/>
        </w:rPr>
      </w:pPr>
      <w:r>
        <w:rPr>
          <w:rFonts w:eastAsia="David" w:cs="Arial" w:ascii="Arial" w:hAnsi="Arial"/>
          <w:b/>
          <w:color w:val="FF0000"/>
          <w:sz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sz w:val="28"/>
          <w:szCs w:val="28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ם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cs="David"/>
        </w:rPr>
      </w:pPr>
      <w:bookmarkStart w:id="7" w:name="PsakDin"/>
      <w:bookmarkEnd w:id="7"/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bookmarkStart w:id="8" w:name="ABSTRACT_START"/>
      <w:bookmarkEnd w:id="8"/>
      <w:r>
        <w:rPr>
          <w:rtl w:val="true"/>
        </w:rPr>
        <w:t xml:space="preserve"> </w:t>
      </w:r>
      <w:r>
        <w:rPr>
          <w:rtl w:val="true"/>
        </w:rPr>
        <w:t xml:space="preserve">הנאשם הורשע לאחר שמיעת הראיות בביצוע עבירות של קשירת קשר לביצוע פשע 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 xml:space="preserve">החזקת נשק ותחמושת 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(</w:t>
      </w:r>
      <w:r>
        <w:rPr>
          <w:rtl w:val="true"/>
        </w:rPr>
        <w:t>רישא וסיפא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מעשי פזיזות ורשלנות לפי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ירי באזור מגורים 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 ושיבוש מהלכי משפט לפי </w:t>
      </w:r>
      <w:hyperlink r:id="rId1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במועד שאינו ידוע למאשימה</w:t>
      </w:r>
      <w:r>
        <w:rPr>
          <w:rtl w:val="true"/>
        </w:rPr>
        <w:t xml:space="preserve">, </w:t>
      </w:r>
      <w:r>
        <w:rPr>
          <w:rtl w:val="true"/>
        </w:rPr>
        <w:t xml:space="preserve">עובר ליום </w:t>
      </w:r>
      <w:r>
        <w:rPr/>
        <w:t>23.08.11</w:t>
      </w:r>
      <w:r>
        <w:rPr>
          <w:rtl w:val="true"/>
        </w:rPr>
        <w:t xml:space="preserve">, </w:t>
      </w:r>
      <w:r>
        <w:rPr>
          <w:rtl w:val="true"/>
        </w:rPr>
        <w:t xml:space="preserve">קשר הנאשם קשר עם אחר שזהותו אינה ידועה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האחר</w:t>
      </w:r>
      <w:r>
        <w:rPr>
          <w:rtl w:val="true"/>
        </w:rPr>
        <w:t xml:space="preserve">") </w:t>
      </w:r>
      <w:r>
        <w:rPr>
          <w:rtl w:val="true"/>
        </w:rPr>
        <w:t xml:space="preserve">לבצע ירי לכיוון בית מגורי משפחת צפר בכתובת רחוב עמרני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בעיר ראש העין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"). </w:t>
      </w:r>
      <w:r>
        <w:rPr>
          <w:rtl w:val="true"/>
        </w:rPr>
        <w:t xml:space="preserve">לצורך קידום הקשר הצטיידו הנאשם והאחר ברכב מסוג יונדאי גטס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רכב היונדאי</w:t>
      </w:r>
      <w:r>
        <w:rPr>
          <w:rtl w:val="true"/>
        </w:rPr>
        <w:t xml:space="preserve">"), </w:t>
      </w:r>
      <w:r>
        <w:rPr>
          <w:rtl w:val="true"/>
        </w:rPr>
        <w:t xml:space="preserve">באקדח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מסוג </w:t>
      </w:r>
      <w:r>
        <w:rPr/>
        <w:t>SigSauer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229335</w:t>
      </w:r>
      <w:r>
        <w:rPr/>
        <w:t>B</w:t>
      </w:r>
      <w:r>
        <w:rPr>
          <w:rtl w:val="true"/>
        </w:rPr>
        <w:t xml:space="preserve"> </w:t>
      </w:r>
      <w:r>
        <w:rPr>
          <w:rtl w:val="true"/>
        </w:rPr>
        <w:t xml:space="preserve">עם מחסנית ותחמושת תואמים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 xml:space="preserve">וכובע גרב מסתיר פנים למעט עיניים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הכובע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 xml:space="preserve">ביום </w:t>
      </w:r>
      <w:r>
        <w:rPr/>
        <w:t>23.08.11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03:30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נסעו הנאשם והאחר ברכב היונדאי לכיוון רחוב עמרני בראש העין</w:t>
      </w:r>
      <w:r>
        <w:rPr>
          <w:rtl w:val="true"/>
        </w:rPr>
        <w:t xml:space="preserve">. </w:t>
      </w:r>
      <w:r>
        <w:rPr>
          <w:rtl w:val="true"/>
        </w:rPr>
        <w:t>כאשר הגיעו לרחוב שילה</w:t>
      </w:r>
      <w:r>
        <w:rPr>
          <w:rtl w:val="true"/>
        </w:rPr>
        <w:t xml:space="preserve">, </w:t>
      </w:r>
      <w:r>
        <w:rPr>
          <w:rtl w:val="true"/>
        </w:rPr>
        <w:t>ירד הנאשם מן הרכב בעודו חובש את הכובע ואוחז בידו את האקדח במצב דרוך ומוכן לירי</w:t>
      </w:r>
      <w:r>
        <w:rPr>
          <w:rtl w:val="true"/>
        </w:rPr>
        <w:t xml:space="preserve">. </w:t>
      </w:r>
      <w:r>
        <w:rPr>
          <w:rtl w:val="true"/>
        </w:rPr>
        <w:t>בהגיעו  אל הבית</w:t>
      </w:r>
      <w:r>
        <w:rPr>
          <w:rtl w:val="true"/>
        </w:rPr>
        <w:t xml:space="preserve">, </w:t>
      </w:r>
      <w:r>
        <w:rPr>
          <w:rtl w:val="true"/>
        </w:rPr>
        <w:t>נעמד הנאשם מולו והחל לירות באמצעות האקדח</w:t>
      </w:r>
      <w:r>
        <w:rPr>
          <w:rtl w:val="true"/>
        </w:rPr>
        <w:t xml:space="preserve">, </w:t>
      </w:r>
      <w:r>
        <w:rPr>
          <w:rtl w:val="true"/>
        </w:rPr>
        <w:t xml:space="preserve">לפחות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בעוד בני משפחת צפר שוהים בבית</w:t>
      </w:r>
      <w:r>
        <w:rPr>
          <w:rtl w:val="true"/>
        </w:rPr>
        <w:t xml:space="preserve">. </w:t>
      </w:r>
      <w:r>
        <w:rPr>
          <w:rtl w:val="true"/>
        </w:rPr>
        <w:t>בשל הירי נפגעו הבית ורכב משפחת צפר מסוג מזדה</w:t>
      </w:r>
      <w:r>
        <w:rPr>
          <w:rtl w:val="true"/>
        </w:rPr>
        <w:t xml:space="preserve">, </w:t>
      </w:r>
      <w:r>
        <w:rPr>
          <w:rtl w:val="true"/>
        </w:rPr>
        <w:t>אשר חנה מתחת לבית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מיד לאחר הירי החל הנאשם להימלט בריצה לכיוון הרכב</w:t>
      </w:r>
      <w:r>
        <w:rPr>
          <w:rtl w:val="true"/>
        </w:rPr>
        <w:t xml:space="preserve">. </w:t>
      </w:r>
      <w:r>
        <w:rPr>
          <w:rtl w:val="true"/>
        </w:rPr>
        <w:t>באותה העת הגיעו למקום שוטרים מתחנת המשטרה הסמוכה והחלו לדלוק אחר הנאשם ולהורות לו לעצור</w:t>
      </w:r>
      <w:r>
        <w:rPr>
          <w:rtl w:val="true"/>
        </w:rPr>
        <w:t xml:space="preserve">. </w:t>
      </w:r>
      <w:r>
        <w:rPr>
          <w:rtl w:val="true"/>
        </w:rPr>
        <w:t>לאחר מספר מטרים</w:t>
      </w:r>
      <w:r>
        <w:rPr>
          <w:rtl w:val="true"/>
        </w:rPr>
        <w:t xml:space="preserve">, </w:t>
      </w:r>
      <w:r>
        <w:rPr>
          <w:rtl w:val="true"/>
        </w:rPr>
        <w:t>נעצר הנאשם</w:t>
      </w:r>
      <w:r>
        <w:rPr>
          <w:rtl w:val="true"/>
        </w:rPr>
        <w:t xml:space="preserve">, </w:t>
      </w:r>
      <w:r>
        <w:rPr>
          <w:rtl w:val="true"/>
        </w:rPr>
        <w:t xml:space="preserve">נכבל בידיו והוכנס אל תוך ניידת המשטרה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הניידת</w:t>
      </w:r>
      <w:r>
        <w:rPr>
          <w:rtl w:val="true"/>
        </w:rPr>
        <w:t xml:space="preserve">"). </w:t>
      </w:r>
      <w:r>
        <w:rPr>
          <w:rtl w:val="true"/>
        </w:rPr>
        <w:t>באותה העת  החביא בניידת</w:t>
      </w:r>
      <w:r>
        <w:rPr>
          <w:rtl w:val="true"/>
        </w:rPr>
        <w:t xml:space="preserve">, </w:t>
      </w:r>
      <w:r>
        <w:rPr>
          <w:rtl w:val="true"/>
        </w:rPr>
        <w:t>את האקדח</w:t>
      </w:r>
      <w:r>
        <w:rPr>
          <w:rtl w:val="true"/>
        </w:rPr>
        <w:t xml:space="preserve">, </w:t>
      </w:r>
      <w:r>
        <w:rPr>
          <w:rtl w:val="true"/>
        </w:rPr>
        <w:t>סמוך למושב בו ישב</w:t>
      </w:r>
      <w:r>
        <w:rPr>
          <w:rtl w:val="true"/>
        </w:rPr>
        <w:t xml:space="preserve">, </w:t>
      </w:r>
      <w:r>
        <w:rPr>
          <w:rtl w:val="true"/>
        </w:rPr>
        <w:t>על מנת שלא ייתפס על גופו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הדגישה בטיעוניה לעונש את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המקנות להן משנה חומרה</w:t>
      </w:r>
      <w:r>
        <w:rPr>
          <w:rtl w:val="true"/>
        </w:rPr>
        <w:t xml:space="preserve">. </w:t>
      </w:r>
      <w:r>
        <w:rPr>
          <w:rtl w:val="true"/>
        </w:rPr>
        <w:t>זאת לאור העובדה כי בוצעו תוך תכנון מוקדם</w:t>
      </w:r>
      <w:r>
        <w:rPr>
          <w:rtl w:val="true"/>
        </w:rPr>
        <w:t xml:space="preserve">, </w:t>
      </w:r>
      <w:r>
        <w:rPr>
          <w:rtl w:val="true"/>
        </w:rPr>
        <w:t>במספר זירות ותוך ירי אל עבר הבית וסיכון עוברי אורח ובני המשפחה אשר שהו בו באותה העת וגרימת נזק לבית ולרכב המשפחה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right" w:pos="8306" w:leader="none"/>
        </w:tabs>
        <w:spacing w:lineRule="auto" w:line="360"/>
        <w:ind w:end="108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עוד הדגישה ב</w:t>
      </w:r>
      <w:r>
        <w:rPr>
          <w:rtl w:val="true"/>
        </w:rPr>
        <w:t>"</w:t>
      </w:r>
      <w:r>
        <w:rPr>
          <w:rtl w:val="true"/>
        </w:rPr>
        <w:t>כ המאשימה את חלקו המהותי של הנאשם בביצוע העבירות</w:t>
      </w:r>
      <w:r>
        <w:rPr>
          <w:rtl w:val="true"/>
        </w:rPr>
        <w:t xml:space="preserve">, </w:t>
      </w:r>
      <w:r>
        <w:rPr>
          <w:rtl w:val="true"/>
        </w:rPr>
        <w:t>בעוד האחר</w:t>
      </w:r>
      <w:r>
        <w:rPr>
          <w:rtl w:val="true"/>
        </w:rPr>
        <w:t xml:space="preserve">, </w:t>
      </w:r>
      <w:r>
        <w:rPr>
          <w:rtl w:val="true"/>
        </w:rPr>
        <w:t>אותו בחר הנאשם שלא לחשוף</w:t>
      </w:r>
      <w:r>
        <w:rPr>
          <w:rtl w:val="true"/>
        </w:rPr>
        <w:t xml:space="preserve">, </w:t>
      </w:r>
      <w:r>
        <w:rPr>
          <w:rtl w:val="true"/>
        </w:rPr>
        <w:t>אך סייע בדרך של הבאתו 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הדגישה בנוסף את העובדה כי משנעצר הנאשם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שוטרים אשר הגיעו למקום ובטרם נערך חיפוש על גופו</w:t>
      </w:r>
      <w:r>
        <w:rPr>
          <w:rtl w:val="true"/>
        </w:rPr>
        <w:t xml:space="preserve">, </w:t>
      </w:r>
      <w:r>
        <w:rPr>
          <w:rtl w:val="true"/>
        </w:rPr>
        <w:t>הוסיף חטא על פשע</w:t>
      </w:r>
      <w:r>
        <w:rPr>
          <w:rtl w:val="true"/>
        </w:rPr>
        <w:t xml:space="preserve">, </w:t>
      </w:r>
      <w:r>
        <w:rPr>
          <w:rtl w:val="true"/>
        </w:rPr>
        <w:t>הרהיב עוז בנפשו והטמין את הנשק בו ביצע את הירי</w:t>
      </w:r>
      <w:r>
        <w:rPr>
          <w:rtl w:val="true"/>
        </w:rPr>
        <w:t xml:space="preserve">, </w:t>
      </w:r>
      <w:r>
        <w:rPr>
          <w:rtl w:val="true"/>
        </w:rPr>
        <w:t>כשהוא דרוך ובו קליע</w:t>
      </w:r>
      <w:r>
        <w:rPr>
          <w:rtl w:val="true"/>
        </w:rPr>
        <w:t xml:space="preserve">, </w:t>
      </w:r>
      <w:r>
        <w:rPr>
          <w:rtl w:val="true"/>
        </w:rPr>
        <w:t>בתוך הניידת המשטרתית מתוך מטרה למנוע תפיסתו</w:t>
      </w:r>
      <w:r>
        <w:rPr>
          <w:rtl w:val="true"/>
        </w:rPr>
        <w:t xml:space="preserve">, </w:t>
      </w:r>
      <w:r>
        <w:rPr>
          <w:rtl w:val="true"/>
        </w:rPr>
        <w:t>להעלים ראיות</w:t>
      </w:r>
      <w:r>
        <w:rPr>
          <w:rtl w:val="true"/>
        </w:rPr>
        <w:t xml:space="preserve">. </w:t>
      </w:r>
      <w:r>
        <w:rPr>
          <w:rtl w:val="true"/>
        </w:rPr>
        <w:t>זאת תוך סיכון הנוסעים בניידת ואך בדרך נס לא הסתיים האירוע באבידות בנפש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טענה כי היה במעשי הנאשם משום פגיעה חמורה בערך החברתי של ההגנה על שלום הציבור</w:t>
      </w:r>
      <w:r>
        <w:rPr>
          <w:rtl w:val="true"/>
        </w:rPr>
        <w:t xml:space="preserve">. </w:t>
      </w:r>
      <w:r>
        <w:rPr>
          <w:rtl w:val="true"/>
        </w:rPr>
        <w:t>זאת לאור 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הנזק אשר נגרם בפועל כתוצאה מביצוען וזה שעלול היה להיגרם</w:t>
      </w:r>
      <w:r>
        <w:rPr>
          <w:rtl w:val="true"/>
        </w:rPr>
        <w:t xml:space="preserve">, </w:t>
      </w:r>
      <w:r>
        <w:rPr>
          <w:rtl w:val="true"/>
        </w:rPr>
        <w:t>כתוצאה מירי בשכונת מגורים</w:t>
      </w:r>
      <w:r>
        <w:rPr>
          <w:rtl w:val="true"/>
        </w:rPr>
        <w:t xml:space="preserve">, </w:t>
      </w:r>
      <w:r>
        <w:rPr>
          <w:rtl w:val="true"/>
        </w:rPr>
        <w:t>במרכזה של עיר</w:t>
      </w:r>
      <w:r>
        <w:rPr>
          <w:rtl w:val="true"/>
        </w:rPr>
        <w:t xml:space="preserve">, </w:t>
      </w:r>
      <w:r>
        <w:rPr>
          <w:rtl w:val="true"/>
        </w:rPr>
        <w:t>בכוונה לפגוע בביתו ומבצרו של אדם ולגרום לו נזק ותוך סיכון עוברי אורח תמימים</w:t>
      </w:r>
      <w:r>
        <w:rPr>
          <w:rtl w:val="true"/>
        </w:rPr>
        <w:t xml:space="preserve">, </w:t>
      </w:r>
      <w:r>
        <w:rPr>
          <w:rtl w:val="true"/>
        </w:rPr>
        <w:t>העלולים להיפגע מן הירי</w:t>
      </w:r>
      <w:r>
        <w:rPr>
          <w:rtl w:val="true"/>
        </w:rPr>
        <w:t xml:space="preserve">, </w:t>
      </w:r>
      <w:r>
        <w:rPr>
          <w:rtl w:val="true"/>
        </w:rPr>
        <w:t>ללא עוול בכפם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הוסיפה וטענה ב</w:t>
      </w:r>
      <w:r>
        <w:rPr>
          <w:rtl w:val="true"/>
        </w:rPr>
        <w:t>"</w:t>
      </w:r>
      <w:r>
        <w:rPr>
          <w:rtl w:val="true"/>
        </w:rPr>
        <w:t>כ המאשימה כי הנאשם לא נטל אחריות על מעשיו</w:t>
      </w:r>
      <w:r>
        <w:rPr>
          <w:rtl w:val="true"/>
        </w:rPr>
        <w:t xml:space="preserve">, </w:t>
      </w:r>
      <w:r>
        <w:rPr>
          <w:rtl w:val="true"/>
        </w:rPr>
        <w:t>לא הפנים חומרתם ולא הביע כל אמפטיה כלפי קורבן העבירה</w:t>
      </w:r>
      <w:r>
        <w:rPr>
          <w:rtl w:val="true"/>
        </w:rPr>
        <w:t xml:space="preserve">, </w:t>
      </w:r>
      <w:r>
        <w:rPr>
          <w:rtl w:val="true"/>
        </w:rPr>
        <w:t>זאת אף בהתחשב בעובדה כי לבקשתו</w:t>
      </w:r>
      <w:r>
        <w:rPr>
          <w:rtl w:val="true"/>
        </w:rPr>
        <w:t xml:space="preserve">, </w:t>
      </w:r>
      <w:r>
        <w:rPr>
          <w:rtl w:val="true"/>
        </w:rPr>
        <w:t>נשמעו הטיעונים לעונש בהיעדרו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עתרה להטיל על הנאשם עונש מאסר בפועל לתקופה ממושכת</w:t>
      </w:r>
      <w:r>
        <w:rPr>
          <w:rtl w:val="true"/>
        </w:rPr>
        <w:t xml:space="preserve">, </w:t>
      </w:r>
      <w:r>
        <w:rPr>
          <w:rtl w:val="true"/>
        </w:rPr>
        <w:t>תוך שהיא סומכת ידיה על פסיקה שהגישה</w:t>
      </w:r>
      <w:r>
        <w:rPr>
          <w:rtl w:val="true"/>
        </w:rPr>
        <w:t xml:space="preserve">, </w:t>
      </w:r>
      <w:r>
        <w:rPr>
          <w:rtl w:val="true"/>
        </w:rPr>
        <w:t>ועל ההלכה הנוהגת</w:t>
      </w:r>
      <w:r>
        <w:rPr>
          <w:rtl w:val="true"/>
        </w:rPr>
        <w:t xml:space="preserve">, </w:t>
      </w:r>
      <w:r>
        <w:rPr>
          <w:rtl w:val="true"/>
        </w:rPr>
        <w:t>כי לאור הסיכון הפוטנציאלי הגלום בעבירות החזקת נשק ואף במקרים בהם הנאשם נעדר עבר פלילי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לאור האמור לעיל ותוך מתן הדעת כי המדובר בריבוי עבירות המהוות אירוע אחד ציינה ב</w:t>
      </w:r>
      <w:r>
        <w:rPr>
          <w:rtl w:val="true"/>
        </w:rPr>
        <w:t>"</w:t>
      </w:r>
      <w:r>
        <w:rPr>
          <w:rtl w:val="true"/>
        </w:rPr>
        <w:t xml:space="preserve">כ המאשימה כי מתחם הענישה ההולם בגין מכלול האירוע הינו מאסר בפועל למשך פרק זמן של </w:t>
      </w:r>
      <w:r>
        <w:rPr/>
        <w:t>3-5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כאשר יש להשית על הנאשם את הרף העליון של מתחם זה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הפנתה לגיליון הרשעותיו הקודמות של הנאשם וטענה כי המדובר במי אשר צבר לחובתו מספר הרשעות במגוון עבירות פליליות ותעבורתיות</w:t>
      </w:r>
      <w:r>
        <w:rPr>
          <w:rtl w:val="true"/>
        </w:rPr>
        <w:t xml:space="preserve">. </w:t>
      </w:r>
      <w:r>
        <w:rPr>
          <w:rtl w:val="true"/>
        </w:rPr>
        <w:t>האחרונה שבהן</w:t>
      </w:r>
      <w:r>
        <w:rPr>
          <w:rtl w:val="true"/>
        </w:rPr>
        <w:t xml:space="preserve">, </w:t>
      </w:r>
      <w:r>
        <w:rPr>
          <w:rtl w:val="true"/>
        </w:rPr>
        <w:t>הינה בגין עבירות איומים והפרעה לעובד ציבור</w:t>
      </w:r>
      <w:r>
        <w:rPr>
          <w:rtl w:val="true"/>
        </w:rPr>
        <w:t xml:space="preserve">, </w:t>
      </w:r>
      <w:r>
        <w:rPr>
          <w:rtl w:val="true"/>
        </w:rPr>
        <w:t>בגינה נגזר עליו</w:t>
      </w:r>
      <w:r>
        <w:rPr>
          <w:rtl w:val="true"/>
        </w:rPr>
        <w:t xml:space="preserve">, </w:t>
      </w:r>
      <w:r>
        <w:rPr>
          <w:rtl w:val="true"/>
        </w:rPr>
        <w:t xml:space="preserve">במהלך ניהול ההליכים בתיק זה וביום </w:t>
      </w:r>
      <w:r>
        <w:rPr/>
        <w:t>20.09.12</w:t>
      </w:r>
      <w:r>
        <w:rPr>
          <w:rtl w:val="true"/>
        </w:rPr>
        <w:t xml:space="preserve">, </w:t>
      </w:r>
      <w:r>
        <w:rPr>
          <w:rtl w:val="true"/>
        </w:rPr>
        <w:t xml:space="preserve">מאסר בפועל למשך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 xml:space="preserve">אשר ירוצה בחופף ובמצטבר לעונש מאסר נוסף של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שנגזר עליו בגין תיק תעבורה </w:t>
      </w:r>
      <w:hyperlink r:id="rId1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12411/09</w:t>
        </w:r>
      </w:hyperlink>
      <w:r>
        <w:rPr>
          <w:rtl w:val="true"/>
        </w:rPr>
        <w:t xml:space="preserve">, </w:t>
      </w:r>
      <w:r>
        <w:rPr>
          <w:rtl w:val="true"/>
        </w:rPr>
        <w:t>שעניינו  נהיגה בשכרות</w:t>
      </w:r>
      <w:r>
        <w:rPr>
          <w:rtl w:val="true"/>
        </w:rPr>
        <w:t xml:space="preserve">, </w:t>
      </w:r>
      <w:r>
        <w:rPr>
          <w:rtl w:val="true"/>
        </w:rPr>
        <w:t>נהיגה בקלות ראש וגרימה לתאונת דרכים בה נחבל אדם</w:t>
      </w:r>
      <w:r>
        <w:rPr>
          <w:rtl w:val="true"/>
        </w:rPr>
        <w:t xml:space="preserve">. </w:t>
      </w:r>
      <w:r>
        <w:rPr>
          <w:rtl w:val="true"/>
        </w:rPr>
        <w:t>לטענת ב</w:t>
      </w:r>
      <w:r>
        <w:rPr>
          <w:rtl w:val="true"/>
        </w:rPr>
        <w:t>"</w:t>
      </w:r>
      <w:r>
        <w:rPr>
          <w:rtl w:val="true"/>
        </w:rPr>
        <w:t>כ המאשימה</w:t>
      </w:r>
      <w:r>
        <w:rPr>
          <w:rtl w:val="true"/>
        </w:rPr>
        <w:t xml:space="preserve">, </w:t>
      </w:r>
      <w:r>
        <w:rPr>
          <w:rtl w:val="true"/>
        </w:rPr>
        <w:t>ריצה הנאשם עד עתה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תקופות מאסר לפרקי זמן בלתי מבוטלים ולפיכך לא תישמע טענה כי מאסרו מאחורי סורג ובריח יהווה פגיעה בו ובמשפחתו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עוד הפנתה המאשימה לעונש מאסר מותנה</w:t>
      </w:r>
      <w:r>
        <w:rPr>
          <w:rtl w:val="true"/>
        </w:rPr>
        <w:t xml:space="preserve">, </w:t>
      </w:r>
      <w:r>
        <w:rPr>
          <w:rtl w:val="true"/>
        </w:rPr>
        <w:t>אשר נגזר על הנאשם 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4792/09</w:t>
      </w:r>
      <w:r>
        <w:rPr>
          <w:rtl w:val="true"/>
        </w:rPr>
        <w:t xml:space="preserve"> </w:t>
      </w:r>
      <w:r>
        <w:rPr>
          <w:rtl w:val="true"/>
        </w:rPr>
        <w:t>שלום ראשל</w:t>
      </w:r>
      <w:r>
        <w:rPr>
          <w:rtl w:val="true"/>
        </w:rPr>
        <w:t>"</w:t>
      </w:r>
      <w:r>
        <w:rPr>
          <w:rtl w:val="true"/>
        </w:rPr>
        <w:t>צ בגין הרשעתו בעבירות תקיפה ואיומים כנגד אמו</w:t>
      </w:r>
      <w:r>
        <w:rPr>
          <w:rtl w:val="true"/>
        </w:rPr>
        <w:t xml:space="preserve">, </w:t>
      </w:r>
      <w:r>
        <w:rPr>
          <w:rtl w:val="true"/>
        </w:rPr>
        <w:t>ואשר הינו בר הפעלה בשל הרשעתו בתיק זה</w:t>
      </w:r>
      <w:r>
        <w:rPr>
          <w:rtl w:val="true"/>
        </w:rPr>
        <w:t xml:space="preserve">. </w:t>
      </w:r>
      <w:r>
        <w:rPr>
          <w:rtl w:val="true"/>
        </w:rPr>
        <w:t>בהקשר זה טענה ב</w:t>
      </w:r>
      <w:r>
        <w:rPr>
          <w:rtl w:val="true"/>
        </w:rPr>
        <w:t>"</w:t>
      </w:r>
      <w:r>
        <w:rPr>
          <w:rtl w:val="true"/>
        </w:rPr>
        <w:t xml:space="preserve">כ המאשימה כי לשון התנאי </w:t>
      </w:r>
      <w:r>
        <w:rPr>
          <w:rtl w:val="true"/>
        </w:rPr>
        <w:t>"</w:t>
      </w:r>
      <w:r>
        <w:rPr>
          <w:rtl w:val="true"/>
        </w:rPr>
        <w:t>שלא יעבור עבירות אלימות כלפי גופו של אדם</w:t>
      </w:r>
      <w:r>
        <w:rPr>
          <w:rtl w:val="true"/>
        </w:rPr>
        <w:t xml:space="preserve">", </w:t>
      </w:r>
      <w:r>
        <w:rPr>
          <w:rtl w:val="true"/>
        </w:rPr>
        <w:t>מאפשרת הפעלתו</w:t>
      </w:r>
      <w:r>
        <w:rPr>
          <w:rtl w:val="true"/>
        </w:rPr>
        <w:t xml:space="preserve">, </w:t>
      </w:r>
      <w:r>
        <w:rPr>
          <w:rtl w:val="true"/>
        </w:rPr>
        <w:t>שכן על פי הפסיקה והספרות</w:t>
      </w:r>
      <w:r>
        <w:rPr>
          <w:rtl w:val="true"/>
        </w:rPr>
        <w:t xml:space="preserve">, </w:t>
      </w:r>
      <w:r>
        <w:rPr>
          <w:rtl w:val="true"/>
        </w:rPr>
        <w:t>אין מתחייב כי התנאי יהיה באותן העבירות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אלא די בהיותו בהיות העבירה באה בכלל סוג העבירה </w:t>
      </w:r>
      <w:r>
        <w:rPr>
          <w:rtl w:val="true"/>
        </w:rPr>
        <w:t xml:space="preserve">, </w:t>
      </w:r>
      <w:r>
        <w:rPr>
          <w:rtl w:val="true"/>
        </w:rPr>
        <w:t>כפי שאכן מתקיים בעניינו</w:t>
      </w:r>
      <w:r>
        <w:rPr>
          <w:rtl w:val="true"/>
        </w:rPr>
        <w:t xml:space="preserve">, </w:t>
      </w:r>
      <w:r>
        <w:rPr>
          <w:rtl w:val="true"/>
        </w:rPr>
        <w:t>עבירות אלימות כלפי גופו של 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לאור סך כל הנסיבות לחומרה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עתרה ב</w:t>
      </w:r>
      <w:r>
        <w:rPr>
          <w:rtl w:val="true"/>
        </w:rPr>
        <w:t>"</w:t>
      </w:r>
      <w:r>
        <w:rPr>
          <w:rtl w:val="true"/>
        </w:rPr>
        <w:t>כ המאשימה להטיל על הנאשם מאסר בפועל לתקופה ממושכת אשר ירוצה במצטבר לכל עונש מאסר אותו הינו מרצה</w:t>
      </w:r>
      <w:r>
        <w:rPr>
          <w:rtl w:val="true"/>
        </w:rPr>
        <w:t xml:space="preserve">, </w:t>
      </w:r>
      <w:r>
        <w:rPr>
          <w:rtl w:val="true"/>
        </w:rPr>
        <w:t>להפעיל את המאסר המותנה</w:t>
      </w:r>
      <w:r>
        <w:rPr>
          <w:rtl w:val="true"/>
        </w:rPr>
        <w:t xml:space="preserve">, </w:t>
      </w:r>
      <w:r>
        <w:rPr>
          <w:rtl w:val="true"/>
        </w:rPr>
        <w:t>להטיל מאסר מותנה בגין תיק זה וקנס</w:t>
      </w:r>
      <w:r>
        <w:rPr>
          <w:rtl w:val="true"/>
        </w:rPr>
        <w:t xml:space="preserve">.  </w:t>
      </w:r>
      <w:r>
        <w:rPr>
          <w:rtl w:val="true"/>
        </w:rPr>
        <w:t>עוד עתרה ב</w:t>
      </w:r>
      <w:r>
        <w:rPr>
          <w:rtl w:val="true"/>
        </w:rPr>
        <w:t>"</w:t>
      </w:r>
      <w:r>
        <w:rPr>
          <w:rtl w:val="true"/>
        </w:rPr>
        <w:t>כ המאשימה שלא לנכות מתקופת המאסר אשר תוטל על הנאשם את תקופת המעצר</w:t>
      </w:r>
      <w:r>
        <w:rPr>
          <w:rtl w:val="true"/>
        </w:rPr>
        <w:t xml:space="preserve">, </w:t>
      </w:r>
      <w:r>
        <w:rPr>
          <w:rtl w:val="true"/>
        </w:rPr>
        <w:t>החל מהעת שמעמדו הוגדר כאסיר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התייחס בטיעוניו לעונש לחלקו של הנאשם ביצירת הקשר</w:t>
      </w:r>
      <w:r>
        <w:rPr>
          <w:rtl w:val="true"/>
        </w:rPr>
        <w:t xml:space="preserve">, </w:t>
      </w:r>
      <w:r>
        <w:rPr>
          <w:rtl w:val="true"/>
        </w:rPr>
        <w:t>בציינו כי אין כל אינדיקציה לגבי טיב הקשר שבינו לבין האחר</w:t>
      </w:r>
      <w:r>
        <w:rPr>
          <w:rtl w:val="true"/>
        </w:rPr>
        <w:t xml:space="preserve">, </w:t>
      </w:r>
      <w:r>
        <w:rPr>
          <w:rtl w:val="true"/>
        </w:rPr>
        <w:t>זהותו או מעמדו של כל אחד מהם</w:t>
      </w:r>
      <w:r>
        <w:rPr>
          <w:rtl w:val="true"/>
        </w:rPr>
        <w:t xml:space="preserve">, </w:t>
      </w:r>
      <w:r>
        <w:rPr>
          <w:rtl w:val="true"/>
        </w:rPr>
        <w:t>בהתייחס לזה האחר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באשר לעתירת ב</w:t>
      </w:r>
      <w:r>
        <w:rPr>
          <w:rtl w:val="true"/>
        </w:rPr>
        <w:t>"</w:t>
      </w:r>
      <w:r>
        <w:rPr>
          <w:rtl w:val="true"/>
        </w:rPr>
        <w:t>כ המאשימה להפעלת עונש המאסר המותנה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 xml:space="preserve">כ הנאשם כי הוטל בתיק שעניינו עבירת אלימות במשפחה וכי על פי לשון התנאי יהא בר הפעלה במקרה של </w:t>
      </w:r>
      <w:r>
        <w:rPr>
          <w:rtl w:val="true"/>
        </w:rPr>
        <w:t>"</w:t>
      </w:r>
      <w:r>
        <w:rPr>
          <w:rtl w:val="true"/>
        </w:rPr>
        <w:t>עבירה כלפי גופו של אדם</w:t>
      </w:r>
      <w:r>
        <w:rPr>
          <w:rtl w:val="true"/>
        </w:rPr>
        <w:t xml:space="preserve">" </w:t>
      </w:r>
      <w:r>
        <w:rPr>
          <w:rtl w:val="true"/>
        </w:rPr>
        <w:t>ולפיכך אינו חל בעבירות בהן עסקינן</w:t>
      </w:r>
      <w:r>
        <w:rPr>
          <w:rtl w:val="true"/>
        </w:rPr>
        <w:t xml:space="preserve">. </w:t>
      </w:r>
      <w:r>
        <w:rPr>
          <w:rtl w:val="true"/>
        </w:rPr>
        <w:t>לצורך כך</w:t>
      </w:r>
      <w:r>
        <w:rPr>
          <w:rtl w:val="true"/>
        </w:rPr>
        <w:t xml:space="preserve">, </w:t>
      </w:r>
      <w:r>
        <w:rPr>
          <w:rtl w:val="true"/>
        </w:rPr>
        <w:t>סקר ב</w:t>
      </w:r>
      <w:r>
        <w:rPr>
          <w:rtl w:val="true"/>
        </w:rPr>
        <w:t>"</w:t>
      </w:r>
      <w:r>
        <w:rPr>
          <w:rtl w:val="true"/>
        </w:rPr>
        <w:t>כ הנאשם את העבירות בהן הורשע הנאשם בתיק זה וטען כי עבירת הירי באזור מגורים הינה עבירה מסוג עוון וכי בענייננו</w:t>
      </w:r>
      <w:r>
        <w:rPr>
          <w:rtl w:val="true"/>
        </w:rPr>
        <w:t xml:space="preserve">, </w:t>
      </w:r>
      <w:r>
        <w:rPr>
          <w:rtl w:val="true"/>
        </w:rPr>
        <w:t>לא נגרם כל נזק לגופו של 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הדגיש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תוך שהוא סומך ידיו על פסיקה</w:t>
      </w:r>
      <w:r>
        <w:rPr>
          <w:rtl w:val="true"/>
        </w:rPr>
        <w:t xml:space="preserve">, </w:t>
      </w:r>
      <w:r>
        <w:rPr>
          <w:rtl w:val="true"/>
        </w:rPr>
        <w:t>את הפרשנות התכליתית שיש להיזקק לה ולקבוע כי הערכים המוגנים שנפגעו כתוצאה מביצוע העבירה בתיק בו הוטל התנאי ואלו שנפגעו כתוצאה מביצוע העבירה בגין התיק שבפני</w:t>
      </w:r>
      <w:r>
        <w:rPr>
          <w:rtl w:val="true"/>
        </w:rPr>
        <w:t xml:space="preserve">, </w:t>
      </w:r>
      <w:r>
        <w:rPr>
          <w:rtl w:val="true"/>
        </w:rPr>
        <w:t>שונים בתכלית השינוי זה מזה</w:t>
      </w:r>
      <w:r>
        <w:rPr>
          <w:rtl w:val="true"/>
        </w:rPr>
        <w:t xml:space="preserve">. </w:t>
      </w:r>
      <w:r>
        <w:rPr>
          <w:rtl w:val="true"/>
        </w:rPr>
        <w:t>בנוסף טען ב</w:t>
      </w:r>
      <w:r>
        <w:rPr>
          <w:rtl w:val="true"/>
        </w:rPr>
        <w:t>"</w:t>
      </w:r>
      <w:r>
        <w:rPr>
          <w:rtl w:val="true"/>
        </w:rPr>
        <w:t>כ הנאשם כי כמצוות המחוקק</w:t>
      </w:r>
      <w:r>
        <w:rPr>
          <w:rtl w:val="true"/>
        </w:rPr>
        <w:t xml:space="preserve">, </w:t>
      </w:r>
      <w:r>
        <w:rPr>
          <w:rtl w:val="true"/>
        </w:rPr>
        <w:t>יש להבחין בין סיכון בכוח</w:t>
      </w:r>
      <w:r>
        <w:rPr>
          <w:rtl w:val="true"/>
        </w:rPr>
        <w:t xml:space="preserve">, </w:t>
      </w:r>
      <w:r>
        <w:rPr>
          <w:rtl w:val="true"/>
        </w:rPr>
        <w:t>לעומת סיכון שהתממש ובענייננו נגרם נזק לרכוש בלבד ואף לא היה טמון מלכתחילה כל סיכון לגוף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ככל הנוגע להטמנת האקדח בניידת</w:t>
      </w:r>
      <w:r>
        <w:rPr>
          <w:rtl w:val="true"/>
        </w:rPr>
        <w:t xml:space="preserve">, </w:t>
      </w:r>
      <w:r>
        <w:rPr>
          <w:rtl w:val="true"/>
        </w:rPr>
        <w:t>טען ב</w:t>
      </w:r>
      <w:r>
        <w:rPr>
          <w:rtl w:val="true"/>
        </w:rPr>
        <w:t>"</w:t>
      </w:r>
      <w:r>
        <w:rPr>
          <w:rtl w:val="true"/>
        </w:rPr>
        <w:t>כ הנאשם כי למשטרת ישראל</w:t>
      </w:r>
      <w:r>
        <w:rPr>
          <w:rtl w:val="true"/>
        </w:rPr>
        <w:t xml:space="preserve">, </w:t>
      </w:r>
      <w:r>
        <w:rPr>
          <w:rtl w:val="true"/>
        </w:rPr>
        <w:t>אשם תורם בעל משקל נכבד בכך שלא ביצעה עבודתה נאמנה ואין מקום להחמיר עם הנאשם בשל מחדליה אלה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הוסיף וטען ב</w:t>
      </w:r>
      <w:r>
        <w:rPr>
          <w:rtl w:val="true"/>
        </w:rPr>
        <w:t>"</w:t>
      </w:r>
      <w:r>
        <w:rPr>
          <w:rtl w:val="true"/>
        </w:rPr>
        <w:t>כ הנאשם כי זכותו של כל נאשם לנהל הגנתו ואין בכך כדי להוות נסיבה לחובתו</w:t>
      </w:r>
      <w:r>
        <w:rPr>
          <w:rtl w:val="true"/>
        </w:rPr>
        <w:t xml:space="preserve">. </w:t>
      </w:r>
      <w:r>
        <w:rPr>
          <w:rtl w:val="true"/>
        </w:rPr>
        <w:t>ובייחוד נוכח מהות העבירה בה הורשע ואופן ניהול הגנתו</w:t>
      </w:r>
      <w:r>
        <w:rPr>
          <w:rtl w:val="true"/>
        </w:rPr>
        <w:t xml:space="preserve">, </w:t>
      </w:r>
      <w:r>
        <w:rPr>
          <w:rtl w:val="true"/>
        </w:rPr>
        <w:t>אשר לא כלל הבאת נפגע עבירה לעדות</w:t>
      </w:r>
      <w:r>
        <w:rPr>
          <w:rtl w:val="true"/>
        </w:rPr>
        <w:t xml:space="preserve">, </w:t>
      </w:r>
      <w:r>
        <w:rPr>
          <w:rtl w:val="true"/>
        </w:rPr>
        <w:t>על כל הכרוך בכך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עוד טען ב</w:t>
      </w:r>
      <w:r>
        <w:rPr>
          <w:rtl w:val="true"/>
        </w:rPr>
        <w:t>"</w:t>
      </w:r>
      <w:r>
        <w:rPr>
          <w:rtl w:val="true"/>
        </w:rPr>
        <w:t>כ הנאשם כי יש לנכות מתקופת המאסר אשר תוטל על הנאשם את כלל התקופה בה שהה במעצר</w:t>
      </w:r>
      <w:r>
        <w:rPr>
          <w:rtl w:val="true"/>
        </w:rPr>
        <w:t xml:space="preserve">, </w:t>
      </w:r>
      <w:r>
        <w:rPr>
          <w:rtl w:val="true"/>
        </w:rPr>
        <w:t>לרבות זו שריצה לאחר הרשעתו בגין העבירה הנוספת</w:t>
      </w:r>
      <w:r>
        <w:rPr>
          <w:rtl w:val="true"/>
        </w:rPr>
        <w:t xml:space="preserve">. </w:t>
      </w:r>
      <w:r>
        <w:rPr>
          <w:rtl w:val="true"/>
        </w:rPr>
        <w:t>שכן במהלך כל תקופת המעצר בגין תיק זה</w:t>
      </w:r>
      <w:r>
        <w:rPr>
          <w:rtl w:val="true"/>
        </w:rPr>
        <w:t xml:space="preserve">, </w:t>
      </w:r>
      <w:r>
        <w:rPr>
          <w:rtl w:val="true"/>
        </w:rPr>
        <w:t>שהה הנאשם בתנאים קשים</w:t>
      </w:r>
      <w:r>
        <w:rPr>
          <w:rtl w:val="true"/>
        </w:rPr>
        <w:t xml:space="preserve">, </w:t>
      </w:r>
      <w:r>
        <w:rPr>
          <w:rtl w:val="true"/>
        </w:rPr>
        <w:t>אשר שללו ממנו זכויות בסיסיות רבות</w:t>
      </w:r>
      <w:r>
        <w:rPr>
          <w:rtl w:val="true"/>
        </w:rPr>
        <w:t xml:space="preserve">, </w:t>
      </w:r>
      <w:r>
        <w:rPr>
          <w:rtl w:val="true"/>
        </w:rPr>
        <w:t>הניתנות לאסירים אשר אינם שוהים בתנאי מעצר</w:t>
      </w:r>
      <w:r>
        <w:rPr>
          <w:rtl w:val="true"/>
        </w:rPr>
        <w:t xml:space="preserve">. </w:t>
      </w:r>
      <w:r>
        <w:rPr>
          <w:rtl w:val="true"/>
        </w:rPr>
        <w:t>עוד הוסיף כי עקב כך  נמנע מן הנאשם</w:t>
      </w:r>
      <w:r>
        <w:rPr>
          <w:rtl w:val="true"/>
        </w:rPr>
        <w:t xml:space="preserve">, </w:t>
      </w:r>
      <w:r>
        <w:rPr>
          <w:rtl w:val="true"/>
        </w:rPr>
        <w:t>שהינו יתום מאב</w:t>
      </w:r>
      <w:r>
        <w:rPr>
          <w:rtl w:val="true"/>
        </w:rPr>
        <w:t xml:space="preserve">, </w:t>
      </w:r>
      <w:r>
        <w:rPr>
          <w:rtl w:val="true"/>
        </w:rPr>
        <w:t>להיפגש עם אמו</w:t>
      </w:r>
      <w:r>
        <w:rPr>
          <w:rtl w:val="true"/>
        </w:rPr>
        <w:t xml:space="preserve">, </w:t>
      </w:r>
      <w:r>
        <w:rPr>
          <w:rtl w:val="true"/>
        </w:rPr>
        <w:t>שמצבה הרפואי רופף</w:t>
      </w:r>
      <w:r>
        <w:rPr>
          <w:rtl w:val="true"/>
        </w:rPr>
        <w:t xml:space="preserve">, </w:t>
      </w:r>
      <w:r>
        <w:rPr>
          <w:rtl w:val="true"/>
        </w:rPr>
        <w:t>כפי שעולה ממסמכים שהגיש וכי זו מבקשת לתמוך בו</w:t>
      </w:r>
      <w:r>
        <w:rPr>
          <w:rtl w:val="true"/>
        </w:rPr>
        <w:t xml:space="preserve">, </w:t>
      </w:r>
      <w:r>
        <w:rPr>
          <w:rtl w:val="true"/>
        </w:rPr>
        <w:t>לאחר שיושבו ביניהם ההדורים</w:t>
      </w:r>
      <w:r>
        <w:rPr>
          <w:rtl w:val="true"/>
        </w:rPr>
        <w:t xml:space="preserve">, </w:t>
      </w:r>
      <w:r>
        <w:rPr>
          <w:rtl w:val="true"/>
        </w:rPr>
        <w:t>בגין האירוע בו נקט כלפיה באלימות</w:t>
      </w:r>
      <w:r>
        <w:rPr>
          <w:rtl w:val="true"/>
        </w:rPr>
        <w:t xml:space="preserve">. </w:t>
      </w:r>
      <w:r>
        <w:rPr>
          <w:rtl w:val="true"/>
        </w:rPr>
        <w:t>לדברי ב</w:t>
      </w:r>
      <w:r>
        <w:rPr>
          <w:rtl w:val="true"/>
        </w:rPr>
        <w:t>"</w:t>
      </w:r>
      <w:r>
        <w:rPr>
          <w:rtl w:val="true"/>
        </w:rPr>
        <w:t>כ הנאשם מכלול הנסיבות מקשה על הנאשם לאסוף כוחות ולהשתקם והוא מהווה כעת נטל על החברה</w:t>
      </w:r>
      <w:r>
        <w:rPr>
          <w:rtl w:val="true"/>
        </w:rPr>
        <w:t xml:space="preserve">, </w:t>
      </w:r>
      <w:r>
        <w:rPr>
          <w:rtl w:val="true"/>
        </w:rPr>
        <w:t>מבלי שניתנה לו הזדמנות כנה לשיקום ומענה הולם לצרכיו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לאבחן את עניינו של הנאשם מן המקרים עליהם ביקשה ב</w:t>
      </w:r>
      <w:r>
        <w:rPr>
          <w:rtl w:val="true"/>
        </w:rPr>
        <w:t>"</w:t>
      </w:r>
      <w:r>
        <w:rPr>
          <w:rtl w:val="true"/>
        </w:rPr>
        <w:t>כ המאשימה לסמוך ידיה</w:t>
      </w:r>
      <w:r>
        <w:rPr>
          <w:rtl w:val="true"/>
        </w:rPr>
        <w:t xml:space="preserve">, </w:t>
      </w:r>
      <w:r>
        <w:rPr>
          <w:rtl w:val="true"/>
        </w:rPr>
        <w:t>בפסיקה שהגישה</w:t>
      </w:r>
      <w:r>
        <w:rPr>
          <w:rtl w:val="true"/>
        </w:rPr>
        <w:t xml:space="preserve">, </w:t>
      </w:r>
      <w:r>
        <w:rPr>
          <w:rtl w:val="true"/>
        </w:rPr>
        <w:t>ועתר תוך שהוא סומך את ידיו על פסיקה שהגיש מטעמו</w:t>
      </w:r>
      <w:r>
        <w:rPr>
          <w:rtl w:val="true"/>
        </w:rPr>
        <w:t xml:space="preserve">, </w:t>
      </w:r>
      <w:r>
        <w:rPr>
          <w:rtl w:val="true"/>
        </w:rPr>
        <w:t xml:space="preserve">לקבוע כי הרף העליון של מתחם הענישה יעמוד על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משנה חומרה בכלל הנסיבות האופפות תיק זה</w:t>
      </w:r>
      <w:r>
        <w:rPr>
          <w:rtl w:val="true"/>
        </w:rPr>
        <w:t xml:space="preserve">. </w:t>
      </w:r>
      <w:r>
        <w:rPr>
          <w:rtl w:val="true"/>
        </w:rPr>
        <w:t>לאחר תכנון מדוקדק ובאישון ליל</w:t>
      </w:r>
      <w:r>
        <w:rPr>
          <w:rtl w:val="true"/>
        </w:rPr>
        <w:t xml:space="preserve">, </w:t>
      </w:r>
      <w:r>
        <w:rPr>
          <w:rtl w:val="true"/>
        </w:rPr>
        <w:t>הוסע הנאשם על ידי אחר</w:t>
      </w:r>
      <w:r>
        <w:rPr>
          <w:rtl w:val="true"/>
        </w:rPr>
        <w:t xml:space="preserve">, </w:t>
      </w:r>
      <w:r>
        <w:rPr>
          <w:rtl w:val="true"/>
        </w:rPr>
        <w:t>לשכונת מגורים בעיבורה של עיר</w:t>
      </w:r>
      <w:r>
        <w:rPr>
          <w:rtl w:val="true"/>
        </w:rPr>
        <w:t xml:space="preserve">, </w:t>
      </w:r>
      <w:r>
        <w:rPr>
          <w:rtl w:val="true"/>
        </w:rPr>
        <w:t>כשהינו עוטה על פניו את הכובע</w:t>
      </w:r>
      <w:r>
        <w:rPr>
          <w:rtl w:val="true"/>
        </w:rPr>
        <w:t xml:space="preserve">, </w:t>
      </w:r>
      <w:r>
        <w:rPr>
          <w:rtl w:val="true"/>
        </w:rPr>
        <w:t>להסוואת זהותו ובידו אקדח</w:t>
      </w:r>
      <w:r>
        <w:rPr>
          <w:rtl w:val="true"/>
        </w:rPr>
        <w:t xml:space="preserve">. </w:t>
      </w:r>
      <w:r>
        <w:rPr>
          <w:rtl w:val="true"/>
        </w:rPr>
        <w:t>בהעדר עכבות ובלא מורא</w:t>
      </w:r>
      <w:r>
        <w:rPr>
          <w:rtl w:val="true"/>
        </w:rPr>
        <w:t xml:space="preserve">, </w:t>
      </w:r>
      <w:r>
        <w:rPr>
          <w:rtl w:val="true"/>
        </w:rPr>
        <w:t>כאשר כלל האמצעים מקדשים את המטרה ותוך שוויון נפש לסיכון הפוטנציאלי לעוברי אורח ולדרי הבית ששהו בו באותה העת</w:t>
      </w:r>
      <w:r>
        <w:rPr>
          <w:rtl w:val="true"/>
        </w:rPr>
        <w:t xml:space="preserve">, </w:t>
      </w:r>
      <w:r>
        <w:rPr>
          <w:rtl w:val="true"/>
        </w:rPr>
        <w:t>פסע ישירות לעבר הבית</w:t>
      </w:r>
      <w:r>
        <w:rPr>
          <w:rtl w:val="true"/>
        </w:rPr>
        <w:t xml:space="preserve">, </w:t>
      </w:r>
      <w:r>
        <w:rPr>
          <w:rtl w:val="true"/>
        </w:rPr>
        <w:t>פתח בירי לעברו</w:t>
      </w:r>
      <w:r>
        <w:rPr>
          <w:rtl w:val="true"/>
        </w:rPr>
        <w:t xml:space="preserve">, </w:t>
      </w:r>
      <w:r>
        <w:rPr>
          <w:rtl w:val="true"/>
        </w:rPr>
        <w:t>פגע בו וגרם נזקים למבנה ולרכב שחנה במקום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הנאשם נעצר באופן מיידי</w:t>
      </w:r>
      <w:r>
        <w:rPr>
          <w:rtl w:val="true"/>
        </w:rPr>
        <w:t xml:space="preserve">, </w:t>
      </w:r>
      <w:r>
        <w:rPr>
          <w:rtl w:val="true"/>
        </w:rPr>
        <w:t>בסמוך לבית והוכנס לניידת</w:t>
      </w:r>
      <w:r>
        <w:rPr>
          <w:rtl w:val="true"/>
        </w:rPr>
        <w:t xml:space="preserve">, </w:t>
      </w:r>
      <w:r>
        <w:rPr>
          <w:rtl w:val="true"/>
        </w:rPr>
        <w:t>טרם נערך חיפוש על גופו</w:t>
      </w:r>
      <w:r>
        <w:rPr>
          <w:rtl w:val="true"/>
        </w:rPr>
        <w:t xml:space="preserve">, </w:t>
      </w:r>
      <w:r>
        <w:rPr>
          <w:rtl w:val="true"/>
        </w:rPr>
        <w:t>בניגוד להגיונם של הדברים וכלל הנהלים</w:t>
      </w:r>
      <w:r>
        <w:rPr>
          <w:rtl w:val="true"/>
        </w:rPr>
        <w:t xml:space="preserve">. </w:t>
      </w:r>
      <w:r>
        <w:rPr>
          <w:rtl w:val="true"/>
        </w:rPr>
        <w:t>הנאשם ניצל את שעת הכושר שנקרתה לדרכו ועל מנת להציל את עורו</w:t>
      </w:r>
      <w:r>
        <w:rPr>
          <w:rtl w:val="true"/>
        </w:rPr>
        <w:t xml:space="preserve">, </w:t>
      </w:r>
      <w:r>
        <w:rPr>
          <w:rtl w:val="true"/>
        </w:rPr>
        <w:t>החביא בניידת את האקדח</w:t>
      </w:r>
      <w:r>
        <w:rPr>
          <w:rtl w:val="true"/>
        </w:rPr>
        <w:t xml:space="preserve">, </w:t>
      </w:r>
      <w:r>
        <w:rPr>
          <w:rtl w:val="true"/>
        </w:rPr>
        <w:t>כשהוא טעון בכדור בבית הבליעה</w:t>
      </w:r>
      <w:r>
        <w:rPr>
          <w:rtl w:val="true"/>
        </w:rPr>
        <w:t xml:space="preserve">, </w:t>
      </w:r>
      <w:r>
        <w:rPr>
          <w:rtl w:val="true"/>
        </w:rPr>
        <w:t>על כל הסיכון המשתמע מכך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חומרה נודעה בפסיקה לעבירות הנשק</w:t>
      </w:r>
      <w:r>
        <w:rPr>
          <w:rtl w:val="true"/>
        </w:rPr>
        <w:t xml:space="preserve">, </w:t>
      </w:r>
      <w:r>
        <w:rPr>
          <w:rtl w:val="true"/>
        </w:rPr>
        <w:t>ובייחוד אלה הכוללות ביצוע ירי באזור מגורים וכמאמר 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זילברטל 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7781/11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נדים רך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991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תופעה זו והיקפה הגדול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 קשה ומטרידה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נוכח חומרת העבירות מסוג זה ופוטנציאל הפגיעה הגלום בהם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נפסק לא אחת כי יש לשדר מסר עונשי אשר ירתיע מפני ביצוע עבירות 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וזאת בדרך של נקיטה בענישה מחמירה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 למשל</w:t>
      </w:r>
      <w:r>
        <w:rPr>
          <w:b/>
          <w:bCs/>
          <w:rtl w:val="true"/>
        </w:rPr>
        <w:t xml:space="preserve">: </w:t>
      </w:r>
      <w:hyperlink r:id="rId1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761/07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אדרי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22.2.07</w:t>
      </w:r>
      <w:r>
        <w:rPr>
          <w:b/>
          <w:bCs/>
          <w:rtl w:val="true"/>
        </w:rPr>
        <w:t xml:space="preserve">); </w:t>
      </w:r>
      <w:hyperlink r:id="rId1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4460/11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פאיד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28.11.11</w:t>
      </w:r>
      <w:r>
        <w:rPr>
          <w:b/>
          <w:bCs/>
          <w:rtl w:val="true"/>
        </w:rPr>
        <w:t xml:space="preserve">); </w:t>
      </w:r>
      <w:hyperlink r:id="rId2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5120/11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שתיווי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18.12.11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כך נאמר במקרה דומה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991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ירי מסוג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ובמיוחד כשהוא מתרחש באזור 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כרוכה בו סכנה של ממש לחיי 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ולא רק לאלה המעורבים בסכסוך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 גם לעוברי אורח תמימים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הנכונות של המערערים לעשות שימוש בנשק חם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ותהיה המחלוקת ביניהם אשר תהיה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 המלמדת על מסוכנותם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 הצורך לנהוג בהם ביד 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דבר המתחייב גם מהצורך להרתיע את הרבים</w:t>
      </w:r>
      <w:r>
        <w:rPr>
          <w:b/>
          <w:bCs/>
          <w:rtl w:val="true"/>
        </w:rPr>
        <w:t>" (</w:t>
      </w:r>
      <w:hyperlink r:id="rId2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6493/05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מוסא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מדינת ישראל </w:t>
      </w:r>
      <w:r>
        <w:rPr>
          <w:b/>
          <w:bCs/>
          <w:rtl w:val="true"/>
        </w:rPr>
        <w:t>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22.2.2006</w:t>
      </w:r>
      <w:r>
        <w:rPr>
          <w:b/>
          <w:bCs/>
          <w:rtl w:val="true"/>
        </w:rPr>
        <w:t>)).</w:t>
      </w:r>
    </w:p>
    <w:p>
      <w:pPr>
        <w:pStyle w:val="Normal"/>
        <w:spacing w:lineRule="auto" w:line="360"/>
        <w:ind w:start="1440" w:end="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bookmarkStart w:id="11" w:name="Casename_body"/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bookmarkEnd w:id="11"/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אדרי</w:t>
      </w:r>
      <w:r>
        <w:rPr>
          <w:rtl w:val="true"/>
        </w:rPr>
        <w:t xml:space="preserve">, </w:t>
      </w:r>
      <w:r>
        <w:rPr>
          <w:rtl w:val="true"/>
        </w:rPr>
        <w:t>קיבל בית המשפט העליון את ערעור המדינה וגזר על המשיב מאסר בפועל לתקופה של שנתיים</w:t>
      </w:r>
      <w:r>
        <w:rPr>
          <w:rtl w:val="true"/>
        </w:rPr>
        <w:t xml:space="preserve">, </w:t>
      </w:r>
      <w:r>
        <w:rPr>
          <w:rtl w:val="true"/>
        </w:rPr>
        <w:t>תחת שנה שהוטלה עליו בבית המשפט המחוזי בשל ביצוע עבירה של החזקת נשק בקובעו</w:t>
      </w:r>
      <w:r>
        <w:rPr>
          <w:rtl w:val="true"/>
        </w:rPr>
        <w:t>:</w:t>
      </w:r>
    </w:p>
    <w:p>
      <w:pPr>
        <w:pStyle w:val="Normal"/>
        <w:spacing w:lineRule="auto" w:line="360"/>
        <w:ind w:end="108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991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אנו סבורים כי ערעור זה בדין יסודו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ההיגיון מחייב כי מי שכוונותיו טובות והנשק דרוש לו למטרות כשרות ומותרות על פי 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יטרח ויצטייד ברישיון מהרשות המוסמכת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ולהיפך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מקום שאדם נמצא מחזיק בנשק כשהוא טעון במחסנית ובתחמושת וללא רישיון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מותר להניח לחובתו כי הוא עושה זאת למטרות לא כשרות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במיוחד כאשר הוא אינו מציע לכך הסבר אשר יניח את דעתו של בית 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חשד זה חמור שבעתיים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מקום שהמחזיק בנשק הנו בעל הרשעות קודמות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חלקן לא פשוטות 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וכזהו המשיב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991" w:end="0"/>
        <w:jc w:val="both"/>
        <w:rPr>
          <w:b/>
          <w:bCs/>
        </w:rPr>
      </w:pP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991" w:end="0"/>
        <w:jc w:val="both"/>
        <w:rPr>
          <w:b/>
          <w:bCs/>
        </w:rPr>
      </w:pPr>
      <w:r>
        <w:rPr>
          <w:b/>
          <w:b/>
          <w:bCs/>
          <w:rtl w:val="true"/>
        </w:rPr>
        <w:t>ניסיון השנים האחרונות מלמד שנשק המוחזק שלא כדין מוצא את דרכו לעתים לידיים 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ולעתים נעשה בו שימוש למטרות 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 גם אלה כבר גרמו לא אחת לאובדן חיי 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ולפגיעה בחפים מפשע שכל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נבע מכך שהם נקלעו בדרך מקרה לזירת 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 להלחם בכל אלה צריך העונש לבטא את סלידתה של החברה ודעתה הנחרצת שלא להשלים עם עבריינות 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 זה בפרט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ספק בעינינו אם יש בעונש אותו גזר בית המשפט המחוזי כדי להשיג מטרה זו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 החלטתנו לקבל את הערעור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 המאסר בפועל בו ישא המשיב אנו מעמידים על שנתיים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המאסר 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 שנגזר בערכאה הראשונה – נותר על כנו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start="720" w:end="108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היה במעשי הנאשם כדי לפגוע פגיעה מהותית בערך המוגן של חיי אדם ובטחון הציבור ורכושו ולנוכח חומרת הנסיבות מצאתי לקבוע כי מתחם הענישה ההולם</w:t>
      </w:r>
      <w:r>
        <w:rPr>
          <w:rtl w:val="true"/>
        </w:rPr>
        <w:t xml:space="preserve">, </w:t>
      </w:r>
      <w:r>
        <w:rPr>
          <w:rtl w:val="true"/>
        </w:rPr>
        <w:t>בגין מכלול העבירות נשוא האירוע</w:t>
      </w:r>
      <w:r>
        <w:rPr>
          <w:rtl w:val="true"/>
        </w:rPr>
        <w:t xml:space="preserve">, </w:t>
      </w:r>
      <w:r>
        <w:rPr>
          <w:rtl w:val="true"/>
        </w:rPr>
        <w:t xml:space="preserve">הינו מאסר בפועל בטווח שבין </w:t>
      </w:r>
      <w:r>
        <w:rPr/>
        <w:t>30-60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בבואי לגזור את דינו של הנאשם אף מטה את הכף לחומרה</w:t>
      </w:r>
      <w:r>
        <w:rPr>
          <w:rtl w:val="true"/>
        </w:rPr>
        <w:t xml:space="preserve">, </w:t>
      </w:r>
      <w:r>
        <w:rPr>
          <w:rtl w:val="true"/>
        </w:rPr>
        <w:t>עברו הפלילי המכביד</w:t>
      </w:r>
      <w:r>
        <w:rPr>
          <w:rtl w:val="true"/>
        </w:rPr>
        <w:t xml:space="preserve">. </w:t>
      </w:r>
      <w:r>
        <w:rPr>
          <w:rtl w:val="true"/>
        </w:rPr>
        <w:t xml:space="preserve">עסקינן בנאשם יליד שנת </w:t>
      </w:r>
      <w:r>
        <w:rPr/>
        <w:t>1983</w:t>
      </w:r>
      <w:r>
        <w:rPr>
          <w:rtl w:val="true"/>
        </w:rPr>
        <w:t xml:space="preserve">, </w:t>
      </w:r>
      <w:r>
        <w:rPr>
          <w:rtl w:val="true"/>
        </w:rPr>
        <w:t>אשר החל משחר נעוריו</w:t>
      </w:r>
      <w:r>
        <w:rPr>
          <w:rtl w:val="true"/>
        </w:rPr>
        <w:t xml:space="preserve">, </w:t>
      </w:r>
      <w:r>
        <w:rPr>
          <w:rtl w:val="true"/>
        </w:rPr>
        <w:t>הפך את דרך הפשע לאורח חייו והורשע במגוון עבירות כנגד עובדי ציבור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הפרת הוראה חוקית</w:t>
      </w:r>
      <w:r>
        <w:rPr>
          <w:rtl w:val="true"/>
        </w:rPr>
        <w:t xml:space="preserve">, </w:t>
      </w:r>
      <w:r>
        <w:rPr>
          <w:rtl w:val="true"/>
        </w:rPr>
        <w:t>סמים ורכוש</w:t>
      </w:r>
      <w:r>
        <w:rPr>
          <w:rtl w:val="true"/>
        </w:rPr>
        <w:t xml:space="preserve">. </w:t>
      </w:r>
      <w:r>
        <w:rPr>
          <w:rtl w:val="true"/>
        </w:rPr>
        <w:t>זאת באין דין ובאין דיין ובלא שהיה במאסרים מותנים שהוטלו עליו בעבר או במספר תקופות מאסר שריצה כדי להרתיעו</w:t>
      </w:r>
      <w:r>
        <w:rPr>
          <w:rtl w:val="true"/>
        </w:rPr>
        <w:t xml:space="preserve">. </w:t>
      </w:r>
      <w:r>
        <w:rPr>
          <w:rtl w:val="true"/>
        </w:rPr>
        <w:t>החשש להישנות העבירות והמסוכנות הרבה הנשקפת מהנאשם לא הופגו גם עתה ולא כל שכן בעת שהנאשם לא לקח כל אחריות על מעשיו ולא הפנים את הפסול שבביצועם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4792-09</w:t>
      </w:r>
      <w:r>
        <w:rPr>
          <w:rtl w:val="true"/>
        </w:rPr>
        <w:t xml:space="preserve">, </w:t>
      </w:r>
      <w:r>
        <w:rPr>
          <w:rtl w:val="true"/>
        </w:rPr>
        <w:t>שלום ת</w:t>
      </w:r>
      <w:r>
        <w:rPr>
          <w:rtl w:val="true"/>
        </w:rPr>
        <w:t>"</w:t>
      </w:r>
      <w:r>
        <w:rPr>
          <w:rtl w:val="true"/>
        </w:rPr>
        <w:t xml:space="preserve">א נגזר דינו של הנאשם ביום </w:t>
      </w:r>
      <w:r>
        <w:rPr/>
        <w:t>1.11.2010</w:t>
      </w:r>
      <w:r>
        <w:rPr>
          <w:rtl w:val="true"/>
        </w:rPr>
        <w:t xml:space="preserve"> </w:t>
      </w:r>
      <w:r>
        <w:rPr>
          <w:rtl w:val="true"/>
        </w:rPr>
        <w:t xml:space="preserve">בגין עבירות אלימות פיסית ומילולית שביצע כלפי אימו והפרת הוראה חוקית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גזר הדין הקודם</w:t>
      </w:r>
      <w:r>
        <w:rPr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 xml:space="preserve">נגזרו על הנאשם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לריצוי בפועל וכן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חודשי מאסר מותנה</w:t>
      </w:r>
      <w:r>
        <w:rPr>
          <w:rtl w:val="true"/>
        </w:rPr>
        <w:t xml:space="preserve">, </w:t>
      </w:r>
      <w:r>
        <w:rPr>
          <w:rtl w:val="true"/>
        </w:rPr>
        <w:t>אותם עותרת המאשימה להפעיל</w:t>
      </w:r>
      <w:r>
        <w:rPr>
          <w:rtl w:val="true"/>
        </w:rPr>
        <w:t xml:space="preserve">, </w:t>
      </w:r>
      <w:r>
        <w:rPr>
          <w:rtl w:val="true"/>
        </w:rPr>
        <w:t>במצטבר לכל עונש של מאסר שיוטל על הנאשם בגין התיק שבפני</w:t>
      </w:r>
      <w:r>
        <w:rPr>
          <w:rtl w:val="true"/>
        </w:rPr>
        <w:t xml:space="preserve">, </w:t>
      </w:r>
      <w:r>
        <w:rPr>
          <w:rtl w:val="true"/>
        </w:rPr>
        <w:t>בעוד ב</w:t>
      </w:r>
      <w:r>
        <w:rPr>
          <w:rtl w:val="true"/>
        </w:rPr>
        <w:t>"</w:t>
      </w:r>
      <w:r>
        <w:rPr>
          <w:rtl w:val="true"/>
        </w:rPr>
        <w:t>כ הנאשם טוען כי אינו בר הפעלה כלל לאור נוסח התנאי</w:t>
      </w:r>
      <w:r>
        <w:rPr>
          <w:rtl w:val="true"/>
        </w:rPr>
        <w:t xml:space="preserve">, </w:t>
      </w:r>
      <w:r>
        <w:rPr>
          <w:rtl w:val="true"/>
        </w:rPr>
        <w:t>יסודות העבירה בה הוטל התנאי ומהות העבירה בה הורשע הנאשם</w:t>
      </w:r>
      <w:r>
        <w:rPr>
          <w:rtl w:val="true"/>
        </w:rPr>
        <w:t xml:space="preserve">, </w:t>
      </w:r>
      <w:r>
        <w:rPr>
          <w:rtl w:val="true"/>
        </w:rPr>
        <w:t>בתיק זה</w:t>
      </w:r>
      <w:r>
        <w:rPr>
          <w:rtl w:val="true"/>
        </w:rPr>
        <w:t xml:space="preserve">- </w:t>
      </w:r>
      <w:r>
        <w:rPr>
          <w:rtl w:val="true"/>
        </w:rPr>
        <w:t>ירי באזור מגורים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באשר לסוגיית פרשנותו של מאסר מותנה והפעלתו</w:t>
      </w:r>
      <w:r>
        <w:rPr>
          <w:rtl w:val="true"/>
        </w:rPr>
        <w:t xml:space="preserve">, </w:t>
      </w:r>
      <w:r>
        <w:rPr>
          <w:rtl w:val="true"/>
        </w:rPr>
        <w:t>אם לאו</w:t>
      </w:r>
      <w:r>
        <w:rPr>
          <w:rtl w:val="true"/>
        </w:rPr>
        <w:t xml:space="preserve">, </w:t>
      </w:r>
      <w:r>
        <w:rPr>
          <w:rtl w:val="true"/>
        </w:rPr>
        <w:t>נקבע כי יש לבחון  את  הערך החברתי עליו באה העבירה להגן</w:t>
      </w:r>
      <w:r>
        <w:rPr>
          <w:rtl w:val="true"/>
        </w:rPr>
        <w:t xml:space="preserve">. </w:t>
      </w:r>
      <w:r>
        <w:rPr>
          <w:rtl w:val="true"/>
        </w:rPr>
        <w:t>עוד נקבע כי המבחן להפרת התנאי אינו מבחן טכני</w:t>
      </w:r>
      <w:r>
        <w:rPr>
          <w:rtl w:val="true"/>
        </w:rPr>
        <w:t>-</w:t>
      </w:r>
      <w:r>
        <w:rPr>
          <w:rtl w:val="true"/>
        </w:rPr>
        <w:t>פורמלי</w:t>
      </w:r>
      <w:r>
        <w:rPr>
          <w:rtl w:val="true"/>
        </w:rPr>
        <w:t xml:space="preserve">, </w:t>
      </w:r>
      <w:r>
        <w:rPr>
          <w:rtl w:val="true"/>
        </w:rPr>
        <w:t>אלא מהותי ענייני והשאלה היא האם העבירה הנוספת בגינה הורשע הנאשם</w:t>
      </w:r>
      <w:r>
        <w:rPr>
          <w:rtl w:val="true"/>
        </w:rPr>
        <w:t xml:space="preserve">, </w:t>
      </w:r>
      <w:r>
        <w:rPr>
          <w:rtl w:val="true"/>
        </w:rPr>
        <w:t>מקיימת את יסודותיה של עבירת התנאי כפי שהתקיימו בהתנהגותו בפועל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2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6352/12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מחמוד סעדה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>
          <w:b/>
          <w:bCs/>
        </w:rPr>
      </w:pPr>
      <w:r>
        <w:rPr>
          <w:rtl w:val="true"/>
        </w:rPr>
        <w:t>עוד נקבע בהקשר זה 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6420/10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סלסנר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start="566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991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עיקר הוא לא בקריאת החוק ה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יבש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ואין להסתפק אך בזיהוי נורמטיבי של הרכיבים היוצרים את העבירה השניה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 xml:space="preserve">עיקר הוא במהות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בהתנהגותו של הנאשם בעבירה השנייה ובשאלה אם התנהגות זו מקיימת את רכיבי עבירת התנאי</w:t>
      </w:r>
      <w:r>
        <w:rPr>
          <w:b/>
          <w:bCs/>
          <w:rtl w:val="true"/>
        </w:rPr>
        <w:t xml:space="preserve">... </w:t>
      </w:r>
    </w:p>
    <w:p>
      <w:pPr>
        <w:pStyle w:val="Normal"/>
        <w:spacing w:lineRule="auto" w:line="360"/>
        <w:ind w:start="991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991" w:end="0"/>
        <w:jc w:val="both"/>
        <w:rPr>
          <w:b/>
          <w:bCs/>
        </w:rPr>
      </w:pPr>
      <w:r>
        <w:rPr>
          <w:b/>
          <w:bCs/>
          <w:rtl w:val="true"/>
        </w:rPr>
        <w:t>....</w:t>
      </w:r>
      <w:r>
        <w:rPr>
          <w:b/>
          <w:b/>
          <w:bCs/>
          <w:rtl w:val="true"/>
        </w:rPr>
        <w:t>המעשה שבגינו מוטל המאסר המותנה אמור ככלל להיות דומה במהותו הפנימית ובמעטהו החיצוני למעשה העבירה נשוא הערעור שבגינו הופעל עונש המאסר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כנזכר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כוונת המחוקק ובתי המשפט בהטלת מאסר מותנה היא מאבק במועדות העבריין המסוים לאותו סוג של 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ועל כן עבירות בעלות גרעין זהה של רכיב התנהגותי ייחשבו כבאות בגדר התנאי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הלוי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חלק ג</w:t>
      </w:r>
      <w:r>
        <w:rPr>
          <w:b/>
          <w:bCs/>
          <w:rtl w:val="true"/>
        </w:rPr>
        <w:t xml:space="preserve">',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830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מהות התנהגותו של הנאשם בעבירה השנייה והתמקדות בשאלה האם יש בה כדי לקיים את רכיבי התנאי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בגזר הדין הקודם נקבע שהתנאי יופעל היה ויעבור הנאשם</w:t>
      </w:r>
      <w:r>
        <w:rPr>
          <w:rtl w:val="true"/>
        </w:rPr>
        <w:t xml:space="preserve">, </w:t>
      </w:r>
      <w:r>
        <w:rPr>
          <w:rtl w:val="true"/>
        </w:rPr>
        <w:t xml:space="preserve">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עבירה </w:t>
      </w:r>
      <w:r>
        <w:rPr>
          <w:rtl w:val="true"/>
        </w:rPr>
        <w:t>"</w:t>
      </w:r>
      <w:r>
        <w:rPr>
          <w:b/>
          <w:b/>
          <w:bCs/>
          <w:rtl w:val="true"/>
        </w:rPr>
        <w:t>שמהותה אלימות כלפי גופו של אדם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ובעניינו</w:t>
      </w:r>
      <w:r>
        <w:rPr>
          <w:rtl w:val="true"/>
        </w:rPr>
        <w:t xml:space="preserve">, </w:t>
      </w:r>
      <w:r>
        <w:rPr>
          <w:rtl w:val="true"/>
        </w:rPr>
        <w:t>עבירת היר</w:t>
      </w:r>
      <w:r>
        <w:rPr>
          <w:rtl w:val="true"/>
        </w:rPr>
        <w:t>י</w:t>
      </w:r>
      <w:r>
        <w:rPr>
          <w:rtl w:val="true"/>
        </w:rPr>
        <w:t xml:space="preserve"> באזור מגורים</w:t>
      </w:r>
      <w:r>
        <w:rPr>
          <w:rtl w:val="true"/>
        </w:rPr>
        <w:t xml:space="preserve">, </w:t>
      </w:r>
      <w:r>
        <w:rPr>
          <w:rtl w:val="true"/>
        </w:rPr>
        <w:t xml:space="preserve">המוגדרת </w:t>
      </w:r>
      <w:hyperlink r:id="rId25">
        <w:r>
          <w:rPr>
            <w:rStyle w:val="Hyperlink"/>
            <w:color w:val="0000FF"/>
            <w:u w:val="single"/>
            <w:rtl w:val="true"/>
          </w:rPr>
          <w:t xml:space="preserve">בסעיף </w:t>
        </w:r>
        <w:r>
          <w:rPr>
            <w:rStyle w:val="Hyperlink"/>
            <w:color w:val="0000FF"/>
            <w:u w:val="single"/>
          </w:rPr>
          <w:t>340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, </w:t>
      </w:r>
      <w:r>
        <w:rPr>
          <w:rtl w:val="true"/>
        </w:rPr>
        <w:t xml:space="preserve">מצויה אכן תחת </w:t>
      </w:r>
      <w:hyperlink r:id="rId26">
        <w:r>
          <w:rPr>
            <w:rStyle w:val="Hyperlink"/>
            <w:color w:val="0000FF"/>
            <w:u w:val="single"/>
            <w:rtl w:val="true"/>
          </w:rPr>
          <w:t>פרק 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שכותרתו </w:t>
      </w:r>
      <w:r>
        <w:rPr>
          <w:rtl w:val="true"/>
        </w:rPr>
        <w:t>"</w:t>
      </w:r>
      <w:r>
        <w:rPr>
          <w:b/>
          <w:b/>
          <w:bCs/>
          <w:rtl w:val="true"/>
        </w:rPr>
        <w:t>פגיעות בגוף</w:t>
      </w:r>
      <w:r>
        <w:rPr>
          <w:rtl w:val="true"/>
        </w:rPr>
        <w:t xml:space="preserve">" </w:t>
      </w:r>
      <w:hyperlink r:id="rId27">
        <w:r>
          <w:rPr>
            <w:rStyle w:val="Hyperlink"/>
            <w:color w:val="0000FF"/>
            <w:u w:val="single"/>
            <w:rtl w:val="true"/>
          </w:rPr>
          <w:t>ובסימן ד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שכותרתו </w:t>
      </w:r>
      <w:r>
        <w:rPr>
          <w:rtl w:val="true"/>
        </w:rPr>
        <w:t>"</w:t>
      </w:r>
      <w:r>
        <w:rPr>
          <w:b/>
          <w:b/>
          <w:bCs/>
          <w:rtl w:val="true"/>
        </w:rPr>
        <w:t>סיכון החיים והבריאות</w:t>
      </w:r>
      <w:r>
        <w:rPr>
          <w:rtl w:val="true"/>
        </w:rPr>
        <w:t xml:space="preserve">". </w:t>
      </w:r>
      <w:r>
        <w:rPr>
          <w:rtl w:val="true"/>
        </w:rPr>
        <w:t>מכאן ניתן ללמוד כי בה בעת שניסח המחוקק את העבירה</w:t>
      </w:r>
      <w:r>
        <w:rPr>
          <w:rtl w:val="true"/>
        </w:rPr>
        <w:t xml:space="preserve">, </w:t>
      </w:r>
      <w:r>
        <w:rPr>
          <w:rtl w:val="true"/>
        </w:rPr>
        <w:t>תוך שמיקמה בפרק שמהותו הגנה על גופו של אדם</w:t>
      </w:r>
      <w:r>
        <w:rPr>
          <w:rtl w:val="true"/>
        </w:rPr>
        <w:t xml:space="preserve">, </w:t>
      </w:r>
      <w:r>
        <w:rPr>
          <w:rtl w:val="true"/>
        </w:rPr>
        <w:t>ביקש באמצעות האיסור על ירי באזור מגורים המבוצע ללא הצדק סביר</w:t>
      </w:r>
      <w:r>
        <w:rPr>
          <w:rtl w:val="true"/>
        </w:rPr>
        <w:t xml:space="preserve">, </w:t>
      </w:r>
      <w:r>
        <w:rPr>
          <w:rtl w:val="true"/>
        </w:rPr>
        <w:t>להגן על חייו של אדם ושלמות גופו ובכך מתקיימת לכאורה הדרישה לזהות בין הערכים המוגנים</w:t>
      </w:r>
      <w:r>
        <w:rPr>
          <w:rtl w:val="true"/>
        </w:rPr>
        <w:t xml:space="preserve">, </w:t>
      </w:r>
      <w:r>
        <w:rPr>
          <w:rtl w:val="true"/>
        </w:rPr>
        <w:t>הרתעת הנאשם מלשוב ולעבור עבירה שמהותה סיכון חיי אדם או בריאותו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108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הלכה היא כי על בית המשפט לבחון בנוסף</w:t>
      </w:r>
      <w:r>
        <w:rPr>
          <w:rtl w:val="true"/>
        </w:rPr>
        <w:t xml:space="preserve">, </w:t>
      </w:r>
      <w:r>
        <w:rPr>
          <w:rtl w:val="true"/>
        </w:rPr>
        <w:t>האם העבירה בגינה הורשע הנאשם</w:t>
      </w:r>
      <w:r>
        <w:rPr>
          <w:rtl w:val="true"/>
        </w:rPr>
        <w:t xml:space="preserve">, </w:t>
      </w:r>
      <w:r>
        <w:rPr>
          <w:rtl w:val="true"/>
        </w:rPr>
        <w:t xml:space="preserve">מקיימת את יסודותיה של עבירת התנאי כפי שהתקיימו בהתנהגותו בפועל </w:t>
      </w:r>
      <w:r>
        <w:rPr>
          <w:rtl w:val="true"/>
        </w:rPr>
        <w:t xml:space="preserve">, </w:t>
      </w:r>
      <w:r>
        <w:rPr>
          <w:rtl w:val="true"/>
        </w:rPr>
        <w:t>תוך מתן הדעת לדמיון בין המעשה שבגינו הוטל המאסר המותנה</w:t>
      </w:r>
      <w:r>
        <w:rPr>
          <w:rtl w:val="true"/>
        </w:rPr>
        <w:t xml:space="preserve">, </w:t>
      </w:r>
      <w:r>
        <w:rPr>
          <w:rtl w:val="true"/>
        </w:rPr>
        <w:t>נקיטת אלימות פיסית ומילולית כלפי אימו</w:t>
      </w:r>
      <w:r>
        <w:rPr>
          <w:rtl w:val="true"/>
        </w:rPr>
        <w:t xml:space="preserve">, </w:t>
      </w:r>
      <w:r>
        <w:rPr>
          <w:rtl w:val="true"/>
        </w:rPr>
        <w:t>למעשה העבירה נשוא תיק זה</w:t>
      </w:r>
      <w:r>
        <w:rPr>
          <w:rtl w:val="true"/>
        </w:rPr>
        <w:t xml:space="preserve">, </w:t>
      </w:r>
      <w:r>
        <w:rPr>
          <w:rtl w:val="true"/>
        </w:rPr>
        <w:t>בגינו עותרים להפעלת המאסר המותנה</w:t>
      </w:r>
      <w:r>
        <w:rPr>
          <w:rtl w:val="true"/>
        </w:rPr>
        <w:t xml:space="preserve">- </w:t>
      </w:r>
      <w:r>
        <w:rPr>
          <w:rtl w:val="true"/>
        </w:rPr>
        <w:t>ירי במקום מגורים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  <w:t>תוך שמושכלות יסוד הינן כי יש בכל מקרה להעדיף את הפרשנות המקלה עם הנאשם ומחמת הספק</w:t>
      </w:r>
      <w:r>
        <w:rPr>
          <w:rtl w:val="true"/>
        </w:rPr>
        <w:t xml:space="preserve">, </w:t>
      </w:r>
      <w:r>
        <w:rPr>
          <w:rtl w:val="true"/>
        </w:rPr>
        <w:t>לא מצאתי לקבוע כי התנאי בר הפעלה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אף לא ייעלמו מעיני נסיבותיו האישיות הקשות של הנאשם כפי שפורטו על ידי בא כוחו</w:t>
      </w:r>
      <w:r>
        <w:rPr>
          <w:rtl w:val="true"/>
        </w:rPr>
        <w:t>.</w:t>
      </w:r>
    </w:p>
    <w:p>
      <w:pPr>
        <w:pStyle w:val="Normal"/>
        <w:spacing w:lineRule="auto" w:line="360"/>
        <w:ind w:start="566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66" w:leader="none"/>
        </w:tabs>
        <w:spacing w:lineRule="auto" w:line="360"/>
        <w:ind w:hanging="566" w:start="566" w:end="0"/>
        <w:jc w:val="both"/>
        <w:rPr/>
      </w:pPr>
      <w:r>
        <w:rPr>
          <w:rtl w:val="true"/>
        </w:rPr>
        <w:t>אש</w:t>
      </w:r>
      <w:r>
        <w:rPr>
          <w:rtl w:val="true"/>
        </w:rPr>
        <w:t>ר על כן אני גוזרת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14" w:start="1080" w:end="0"/>
        <w:jc w:val="both"/>
        <w:rPr/>
      </w:pPr>
      <w:r>
        <w:rPr>
          <w:rtl w:val="true"/>
        </w:rPr>
        <w:t xml:space="preserve">מאסר למשך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 ירוצו במצטבר לכל תקופת מאסר אותה מרצה הנאשם כיום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מתקופת המאסר ינוכו כלל ימי מעצרו של הנאשם ובלבד שלא היה באותה העת במעמד של אסיר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14" w:start="1080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לבל יעבור הנאשם במשך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כל אחת מהעבירות בהן 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514" w:start="1080" w:end="0"/>
        <w:jc w:val="both"/>
        <w:rPr/>
      </w:pPr>
      <w:r>
        <w:rPr>
          <w:rtl w:val="true"/>
        </w:rPr>
        <w:t xml:space="preserve">קנס בסך של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 xml:space="preserve">או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  <w:bookmarkStart w:id="12" w:name="_GoBack"/>
      <w:bookmarkStart w:id="13" w:name="_GoBack"/>
      <w:bookmarkEnd w:id="13"/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  <w:t xml:space="preserve">זכות ערעור לבית המשפט המחוזי בתוך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 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07/11/2012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דבורה עטר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דבורה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עטר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24964-09-11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דניאל גלר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720"/>
      </w:pPr>
      <w:rPr>
        <w:szCs w:val="24"/>
        <w:rFonts w:cs="Times New Roman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b w:val="false"/>
        <w:bCs w:val="false"/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szCs w:val="24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b w:val="false"/>
      <w:bCs w:val="false"/>
    </w:rPr>
  </w:style>
  <w:style w:type="character" w:styleId="WW8Num2z1">
    <w:name w:val="WW8Num2z1"/>
    <w:qFormat/>
    <w:rPr>
      <w:rFonts w:cs="Times New Roman"/>
      <w:szCs w:val="24"/>
    </w:rPr>
  </w:style>
  <w:style w:type="character" w:styleId="WW8Num2z2">
    <w:name w:val="WW8Num2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338.a.5" TargetMode="External"/><Relationship Id="rId6" Type="http://schemas.openxmlformats.org/officeDocument/2006/relationships/hyperlink" Target="http://www.nevo.co.il/law/70301/340a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dS" TargetMode="External"/><Relationship Id="rId9" Type="http://schemas.openxmlformats.org/officeDocument/2006/relationships/hyperlink" Target="http://www.nevo.co.il/law/70301/jC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a" TargetMode="External"/><Relationship Id="rId13" Type="http://schemas.openxmlformats.org/officeDocument/2006/relationships/hyperlink" Target="http://www.nevo.co.il/law/70301/338.a.5" TargetMode="External"/><Relationship Id="rId14" Type="http://schemas.openxmlformats.org/officeDocument/2006/relationships/hyperlink" Target="http://www.nevo.co.il/law/70301/340a" TargetMode="External"/><Relationship Id="rId15" Type="http://schemas.openxmlformats.org/officeDocument/2006/relationships/hyperlink" Target="http://www.nevo.co.il/law/70301/244" TargetMode="External"/><Relationship Id="rId16" Type="http://schemas.openxmlformats.org/officeDocument/2006/relationships/hyperlink" Target="http://www.nevo.co.il/case/2408800" TargetMode="External"/><Relationship Id="rId17" Type="http://schemas.openxmlformats.org/officeDocument/2006/relationships/hyperlink" Target="http://www.nevo.co.il/case/5603661" TargetMode="External"/><Relationship Id="rId18" Type="http://schemas.openxmlformats.org/officeDocument/2006/relationships/hyperlink" Target="http://www.nevo.co.il/case/5724364" TargetMode="External"/><Relationship Id="rId19" Type="http://schemas.openxmlformats.org/officeDocument/2006/relationships/hyperlink" Target="http://www.nevo.co.il/case/5958231" TargetMode="External"/><Relationship Id="rId20" Type="http://schemas.openxmlformats.org/officeDocument/2006/relationships/hyperlink" Target="http://www.nevo.co.il/case/5995135" TargetMode="External"/><Relationship Id="rId21" Type="http://schemas.openxmlformats.org/officeDocument/2006/relationships/hyperlink" Target="http://www.nevo.co.il/case/6068562" TargetMode="External"/><Relationship Id="rId22" Type="http://schemas.openxmlformats.org/officeDocument/2006/relationships/hyperlink" Target="http://www.nevo.co.il/case/5724364" TargetMode="External"/><Relationship Id="rId23" Type="http://schemas.openxmlformats.org/officeDocument/2006/relationships/hyperlink" Target="http://www.nevo.co.il/case/5594340" TargetMode="External"/><Relationship Id="rId24" Type="http://schemas.openxmlformats.org/officeDocument/2006/relationships/hyperlink" Target="http://www.nevo.co.il/case/6065628" TargetMode="External"/><Relationship Id="rId25" Type="http://schemas.openxmlformats.org/officeDocument/2006/relationships/hyperlink" Target="http://www.nevo.co.il/law/70301/340a" TargetMode="External"/><Relationship Id="rId26" Type="http://schemas.openxmlformats.org/officeDocument/2006/relationships/hyperlink" Target="http://www.nevo.co.il/law/70301/jC" TargetMode="External"/><Relationship Id="rId27" Type="http://schemas.openxmlformats.org/officeDocument/2006/relationships/hyperlink" Target="http://www.nevo.co.il/law/70301/dS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2016-04-04T13:31:00Z</dcterms:created>
  <dc:creator> </dc:creator>
  <dc:description/>
  <cp:keywords/>
  <dc:language>en-IL</dc:language>
  <cp:lastModifiedBy>miri</cp:lastModifiedBy>
  <dcterms:modified xsi:type="dcterms:W3CDTF">2016-04-04T13:31:00Z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דניאל גלר</vt:lpwstr>
  </property>
  <property fmtid="{D5CDD505-2E9C-101B-9397-08002B2CF9AE}" pid="4" name="CASESLISTTMP1">
    <vt:lpwstr>2408800;5603661;5724364:2;5958231;5995135;6068562;5594340;6065628</vt:lpwstr>
  </property>
  <property fmtid="{D5CDD505-2E9C-101B-9397-08002B2CF9AE}" pid="5" name="CITY">
    <vt:lpwstr>פ"ת</vt:lpwstr>
  </property>
  <property fmtid="{D5CDD505-2E9C-101B-9397-08002B2CF9AE}" pid="6" name="DATE">
    <vt:lpwstr>20121107</vt:lpwstr>
  </property>
  <property fmtid="{D5CDD505-2E9C-101B-9397-08002B2CF9AE}" pid="7" name="ISABSTRACT">
    <vt:lpwstr>Y</vt:lpwstr>
  </property>
  <property fmtid="{D5CDD505-2E9C-101B-9397-08002B2CF9AE}" pid="8" name="JUDGE">
    <vt:lpwstr>דבורה עטר</vt:lpwstr>
  </property>
  <property fmtid="{D5CDD505-2E9C-101B-9397-08002B2CF9AE}" pid="9" name="LAWLISTTMP1">
    <vt:lpwstr>70301/499.a.1;144.a;338.a.5;340a:2;244;jC;dS</vt:lpwstr>
  </property>
  <property fmtid="{D5CDD505-2E9C-101B-9397-08002B2CF9AE}" pid="10" name="LAWYER">
    <vt:lpwstr>רעות אבירי שגיא זני;הובא;הובא שב"ס</vt:lpwstr>
  </property>
  <property fmtid="{D5CDD505-2E9C-101B-9397-08002B2CF9AE}" pid="11" name="NEWPARTA">
    <vt:lpwstr>24964</vt:lpwstr>
  </property>
  <property fmtid="{D5CDD505-2E9C-101B-9397-08002B2CF9AE}" pid="12" name="NEWPARTB">
    <vt:lpwstr>09</vt:lpwstr>
  </property>
  <property fmtid="{D5CDD505-2E9C-101B-9397-08002B2CF9AE}" pid="13" name="NEWPARTC">
    <vt:lpwstr>11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380020121107</vt:lpwstr>
  </property>
  <property fmtid="{D5CDD505-2E9C-101B-9397-08002B2CF9AE}" pid="18" name="TYPE_N_DATE">
    <vt:lpwstr>38020121107</vt:lpwstr>
  </property>
  <property fmtid="{D5CDD505-2E9C-101B-9397-08002B2CF9AE}" pid="19" name="WORDNUMPAGES">
    <vt:lpwstr>8</vt:lpwstr>
  </property>
</Properties>
</file>