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25-10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כחלול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האני כחלול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עלאא מרעי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נדון </w:t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מטעם המאשימה </w:t>
      </w:r>
      <w:r>
        <w:rPr>
          <w:u w:val="none"/>
          <w:rtl w:val="true"/>
        </w:rPr>
        <w:t xml:space="preserve">-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שירי שחף</w:t>
      </w:r>
      <w:r>
        <w:rPr>
          <w:u w:val="none"/>
          <w:rtl w:val="true"/>
        </w:rPr>
        <w:t>-</w:t>
      </w:r>
      <w:r>
        <w:rPr>
          <w:u w:val="none"/>
          <w:rtl w:val="true"/>
        </w:rPr>
        <w:t>אופק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מטעם הנאשם </w:t>
      </w:r>
      <w:r>
        <w:rPr>
          <w:u w:val="none"/>
        </w:rPr>
        <w:t>1</w:t>
      </w:r>
      <w:r>
        <w:rPr>
          <w:u w:val="none"/>
          <w:rtl w:val="true"/>
        </w:rPr>
        <w:t xml:space="preserve">- </w:t>
      </w:r>
      <w:r>
        <w:rPr>
          <w:u w:val="none"/>
          <w:rtl w:val="true"/>
        </w:rPr>
        <w:t>בעצמו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י </w:t>
      </w: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לימור לוי מל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25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b/>
            <w:bCs/>
          </w:rPr>
          <w:t>499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)(</w:t>
        </w:r>
        <w:r>
          <w:rPr>
            <w:rStyle w:val="Hyperlink"/>
            <w:rFonts w:eastAsia="David" w:cs="FrankRuehl" w:ascii="FrankRuehl" w:hAnsi="FrankRuehl"/>
            <w:b/>
            <w:bCs/>
          </w:rPr>
          <w:t>1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א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u w:val="none"/>
          <w:rtl w:val="true"/>
        </w:rPr>
        <w:t>ך</w:t>
      </w:r>
    </w:p>
    <w:p>
      <w:pPr>
        <w:pStyle w:val="12"/>
        <w:spacing w:lineRule="auto" w:line="360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בעניינו של הנאשם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</w:p>
    <w:p>
      <w:pPr>
        <w:pStyle w:val="Style14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Style14"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הנאשם לפניי 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פי הודאתו בעובדות כתב האישום המתוקן מיום </w:t>
      </w:r>
      <w:r>
        <w:rPr/>
        <w:t>20.2.11</w:t>
      </w:r>
      <w:r>
        <w:rPr>
          <w:rtl w:val="true"/>
        </w:rPr>
        <w:t xml:space="preserve">, </w:t>
      </w:r>
      <w:r>
        <w:rPr>
          <w:rtl w:val="true"/>
        </w:rPr>
        <w:t>בעבירות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 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וניסיון לרכישת והחזקת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Style14"/>
        <w:ind w:end="0"/>
        <w:jc w:val="both"/>
        <w:rPr/>
      </w:pPr>
      <w:r>
        <w:rPr>
          <w:rtl w:val="true"/>
        </w:rPr>
        <w:t xml:space="preserve">כתב האישום מתאר את הקשר בין הנאשם לבין סוחר נשק בשם אמל אבו עבלה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אמל</w:t>
      </w:r>
      <w:r>
        <w:rPr>
          <w:rtl w:val="true"/>
        </w:rPr>
        <w:t xml:space="preserve">"). </w:t>
      </w:r>
      <w:r>
        <w:rPr>
          <w:rtl w:val="true"/>
        </w:rPr>
        <w:t>הנאשם פנה אל אמל וביקש ממנו להשיג עבורו כלי נשק</w:t>
      </w:r>
      <w:r>
        <w:rPr>
          <w:rtl w:val="true"/>
        </w:rPr>
        <w:t xml:space="preserve">. </w:t>
      </w:r>
      <w:r>
        <w:rPr>
          <w:rtl w:val="true"/>
        </w:rPr>
        <w:t>אמל נעתר לבקשה זו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14.12.09</w:t>
      </w:r>
      <w:r>
        <w:rPr>
          <w:rtl w:val="true"/>
        </w:rPr>
        <w:t xml:space="preserve"> </w:t>
      </w:r>
      <w:r>
        <w:rPr>
          <w:rtl w:val="true"/>
        </w:rPr>
        <w:t>גנב אמל</w:t>
      </w:r>
      <w:r>
        <w:rPr>
          <w:rtl w:val="true"/>
        </w:rPr>
        <w:t xml:space="preserve">, </w:t>
      </w:r>
      <w:r>
        <w:rPr>
          <w:rtl w:val="true"/>
        </w:rPr>
        <w:t>באמצעות אדם אחר בשם דור מאיר</w:t>
      </w:r>
      <w:r>
        <w:rPr>
          <w:rtl w:val="true"/>
        </w:rPr>
        <w:t xml:space="preserve">, </w:t>
      </w:r>
      <w:r>
        <w:rPr>
          <w:rtl w:val="true"/>
        </w:rPr>
        <w:t>שלושה כלי נשק מבית במושב אודם</w:t>
      </w:r>
      <w:r>
        <w:rPr>
          <w:rtl w:val="true"/>
        </w:rPr>
        <w:t xml:space="preserve">, </w:t>
      </w:r>
      <w:r>
        <w:rPr>
          <w:rtl w:val="true"/>
        </w:rPr>
        <w:t>ובהם רובה זעיר  ועליו כוונת טלסקופית</w:t>
      </w:r>
      <w:r>
        <w:rPr>
          <w:rtl w:val="true"/>
        </w:rPr>
        <w:t xml:space="preserve">; </w:t>
      </w:r>
      <w:r>
        <w:rPr>
          <w:rtl w:val="true"/>
        </w:rPr>
        <w:t xml:space="preserve">רובה אויר בעל קוטר </w:t>
      </w:r>
      <w:r>
        <w:rPr/>
        <w:t>177</w:t>
      </w:r>
      <w:r>
        <w:rPr>
          <w:rtl w:val="true"/>
        </w:rPr>
        <w:t xml:space="preserve">; </w:t>
      </w:r>
      <w:r>
        <w:rPr>
          <w:rtl w:val="true"/>
        </w:rPr>
        <w:t xml:space="preserve">אקדח ברטה ומחסנית המכילה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באותו היום התקשר הנאשם אל אמל והתעניין בכלי הירי ובמחיר שמבקש אמל עבורם</w:t>
      </w:r>
      <w:r>
        <w:rPr>
          <w:rtl w:val="true"/>
        </w:rPr>
        <w:t xml:space="preserve">. </w:t>
      </w:r>
      <w:r>
        <w:rPr>
          <w:rtl w:val="true"/>
        </w:rPr>
        <w:t>השניים ניהלו משא ומתן על המחיר והנאשם אף הזמין את אמל לביתו במטרה להתרשם מכלי הירי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ביום </w:t>
      </w:r>
      <w:r>
        <w:rPr/>
        <w:t>27.12.09</w:t>
      </w:r>
      <w:r>
        <w:rPr>
          <w:rtl w:val="true"/>
        </w:rPr>
        <w:t xml:space="preserve"> </w:t>
      </w:r>
      <w:r>
        <w:rPr>
          <w:rtl w:val="true"/>
        </w:rPr>
        <w:t>התקשר הנאשם אל אמל וביקש לברר האם בידי אמל כלי נשק חדשים</w:t>
      </w:r>
      <w:r>
        <w:rPr>
          <w:rtl w:val="true"/>
        </w:rPr>
        <w:t xml:space="preserve">. </w:t>
      </w:r>
      <w:r>
        <w:rPr>
          <w:rtl w:val="true"/>
        </w:rPr>
        <w:t>על כך נענה כי עליו להתאזר בסבלנות מספר ימים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ביום </w:t>
      </w:r>
      <w:r>
        <w:rPr/>
        <w:t>31.12.09</w:t>
      </w:r>
      <w:r>
        <w:rPr>
          <w:rtl w:val="true"/>
        </w:rPr>
        <w:t xml:space="preserve"> </w:t>
      </w:r>
      <w:r>
        <w:rPr>
          <w:rtl w:val="true"/>
        </w:rPr>
        <w:t>התקשר הנאשם שוב אל אמל מספר פעמים</w:t>
      </w:r>
      <w:r>
        <w:rPr>
          <w:rtl w:val="true"/>
        </w:rPr>
        <w:t xml:space="preserve">, </w:t>
      </w:r>
      <w:r>
        <w:rPr>
          <w:rtl w:val="true"/>
        </w:rPr>
        <w:t>שוחח עימו בנוגע לרכישת כלי נשק ותחמושת וציין כי זקוק לך בדחיפות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ביום </w:t>
      </w:r>
      <w:r>
        <w:rPr/>
        <w:t>7.1.10</w:t>
      </w:r>
      <w:r>
        <w:rPr>
          <w:rtl w:val="true"/>
        </w:rPr>
        <w:t xml:space="preserve"> </w:t>
      </w:r>
      <w:r>
        <w:rPr>
          <w:rtl w:val="true"/>
        </w:rPr>
        <w:t>התקשר הנאשם שוב אל אמל והתעניין בכלי נשק גדול למכירה</w:t>
      </w:r>
      <w:r>
        <w:rPr>
          <w:rtl w:val="true"/>
        </w:rPr>
        <w:t xml:space="preserve">, </w:t>
      </w:r>
      <w:r>
        <w:rPr>
          <w:rtl w:val="true"/>
        </w:rPr>
        <w:t xml:space="preserve">אמל השיב בחיוב וציין כי עבור כלי נשק זה ידרוש </w:t>
      </w:r>
      <w:r>
        <w:rPr/>
        <w:t>45,000</w:t>
      </w:r>
      <w:r>
        <w:rPr>
          <w:rtl w:val="true"/>
        </w:rPr>
        <w:t xml:space="preserve"> ₪.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</w:t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המאשימה טוענת כי כתב האישום מלמד על אובססיה שדבקה בנאשם לרכישת כלי נשק</w:t>
      </w:r>
      <w:r>
        <w:rPr>
          <w:rtl w:val="true"/>
        </w:rPr>
        <w:t xml:space="preserve">, </w:t>
      </w:r>
      <w:r>
        <w:rPr>
          <w:rtl w:val="true"/>
        </w:rPr>
        <w:t>מבלי ששקל לבקש את חידוש רישיון הנשק שלו ולהחזיק בנשק באופן חוקי</w:t>
      </w:r>
      <w:r>
        <w:rPr>
          <w:rtl w:val="true"/>
        </w:rPr>
        <w:t xml:space="preserve">. </w:t>
      </w:r>
      <w:r>
        <w:rPr>
          <w:rtl w:val="true"/>
        </w:rPr>
        <w:t>חרף העדרו של עבר פלילי</w:t>
      </w:r>
      <w:r>
        <w:rPr>
          <w:rtl w:val="true"/>
        </w:rPr>
        <w:t xml:space="preserve">, </w:t>
      </w:r>
      <w:r>
        <w:rPr>
          <w:rtl w:val="true"/>
        </w:rPr>
        <w:t>כך טוענת המאשימה</w:t>
      </w:r>
      <w:r>
        <w:rPr>
          <w:rtl w:val="true"/>
        </w:rPr>
        <w:t xml:space="preserve">, </w:t>
      </w:r>
      <w:r>
        <w:rPr>
          <w:rtl w:val="true"/>
        </w:rPr>
        <w:t>אין מדובר באדם נורמטיבי</w:t>
      </w:r>
      <w:r>
        <w:rPr>
          <w:rtl w:val="true"/>
        </w:rPr>
        <w:t xml:space="preserve">, </w:t>
      </w:r>
      <w:r>
        <w:rPr>
          <w:rtl w:val="true"/>
        </w:rPr>
        <w:t>ובעניין זה היא מפנה אל מסקנות שירות המבחן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מדובר בנאשם שהמסוכנות טבועה בו</w:t>
      </w:r>
      <w:r>
        <w:rPr>
          <w:rtl w:val="true"/>
        </w:rPr>
        <w:t xml:space="preserve">, </w:t>
      </w:r>
      <w:r>
        <w:rPr>
          <w:rtl w:val="true"/>
        </w:rPr>
        <w:t>כשניתן להניח כי ביקש להצטייד בנשק שלא כחוק למטרות שאינן כשרות</w:t>
      </w:r>
      <w:r>
        <w:rPr>
          <w:rtl w:val="true"/>
        </w:rPr>
        <w:t xml:space="preserve">, </w:t>
      </w:r>
      <w:r>
        <w:rPr>
          <w:rtl w:val="true"/>
        </w:rPr>
        <w:t>כשבפיו אין כל הסבר אחר בקשר לכך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עוד ציינה כי מדיניות הענישה בעבירות הנשק מחייבת עונש של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ולראיה אישר בית המשפט העליון ענישה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במקרה אחר שנסיבותיו פחות חמורות מנסיבות המקרה דנן </w:t>
      </w:r>
      <w:r>
        <w:rPr>
          <w:rtl w:val="true"/>
        </w:rPr>
        <w:t>(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5604/11</w:t>
        </w:r>
      </w:hyperlink>
      <w:r>
        <w:rPr>
          <w:rtl w:val="true"/>
        </w:rPr>
        <w:t>).</w:t>
      </w:r>
    </w:p>
    <w:p>
      <w:pPr>
        <w:pStyle w:val="Style14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 xml:space="preserve">המאשימה מבקשת להטיל על הנאשם עונש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כשהיא מבחינה בין עניינו של נאשם זה לעניינו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כשלדבריה תסקיר שירות המבחן במקרה זה הוא שלילי וכן מדובר במקרה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שיחות טלפון מול אמל בהשוואה לשיחה בודדת במקרה של נאשם </w:t>
      </w:r>
      <w:r>
        <w:rPr/>
        <w:t>2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הסנגור תיקן וטען כי מדובר 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שיחות בלבד</w:t>
      </w:r>
      <w:r>
        <w:rPr>
          <w:rtl w:val="true"/>
        </w:rPr>
        <w:t xml:space="preserve">, </w:t>
      </w:r>
      <w:r>
        <w:rPr>
          <w:rtl w:val="true"/>
        </w:rPr>
        <w:t>כשהנאשם ניתק את הקשר מול אמל ביוזמתו הוא אף טרם מעצרו</w:t>
      </w:r>
      <w:r>
        <w:rPr>
          <w:rtl w:val="true"/>
        </w:rPr>
        <w:t xml:space="preserve">. </w:t>
      </w:r>
      <w:r>
        <w:rPr>
          <w:rtl w:val="true"/>
        </w:rPr>
        <w:t>עוד ציין כי מדובר בניסיון בשלביו הראשונים בלבד</w:t>
      </w:r>
      <w:r>
        <w:rPr>
          <w:rtl w:val="true"/>
        </w:rPr>
        <w:t xml:space="preserve">, </w:t>
      </w:r>
      <w:r>
        <w:rPr>
          <w:rtl w:val="true"/>
        </w:rPr>
        <w:t>כאשר פרט להתעניינות לא נעשו צעדים נוספים לשם קידום הקשר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ביחס לנסיבותיו האישיות של הנאשם ציין כי מדובר באדם ללא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נשוי ואב לילדה הסובל מנכות קשה</w:t>
      </w:r>
      <w:r>
        <w:rPr>
          <w:rtl w:val="true"/>
        </w:rPr>
        <w:t xml:space="preserve">. </w:t>
      </w:r>
      <w:r>
        <w:rPr>
          <w:rtl w:val="true"/>
        </w:rPr>
        <w:t>חרף נכותו קיים כל חייו אורח חיים פעיל  ונורמטיבי</w:t>
      </w:r>
      <w:r>
        <w:rPr>
          <w:rtl w:val="true"/>
        </w:rPr>
        <w:t xml:space="preserve">, </w:t>
      </w:r>
      <w:r>
        <w:rPr>
          <w:rtl w:val="true"/>
        </w:rPr>
        <w:t>שירת בצה</w:t>
      </w:r>
      <w:r>
        <w:rPr>
          <w:rtl w:val="true"/>
        </w:rPr>
        <w:t>"</w:t>
      </w:r>
      <w:r>
        <w:rPr>
          <w:rtl w:val="true"/>
        </w:rPr>
        <w:t>ל ועבד לפרנסתו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הנאשם הביע חרטה על מעשיו בבית המשפט</w:t>
      </w:r>
      <w:r>
        <w:rPr>
          <w:rtl w:val="true"/>
        </w:rPr>
        <w:t xml:space="preserve">, </w:t>
      </w:r>
      <w:r>
        <w:rPr>
          <w:rtl w:val="true"/>
        </w:rPr>
        <w:t>בציינו כי יודע שעשה טעות חמורה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שרות המבחן</w:t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קצינת המבחן ציינה כי הנאשם התקשה להסביר את מניעיו להחזקת נשק לאורך השנים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התסקיר הפנייה לאמל נעשתה לאחר קבלת הודעה על התליית רישיון הנשק שלו ממשרד הפנים</w:t>
      </w:r>
      <w:r>
        <w:rPr>
          <w:rtl w:val="true"/>
        </w:rPr>
        <w:t xml:space="preserve">, </w:t>
      </w:r>
      <w:r>
        <w:rPr>
          <w:rtl w:val="true"/>
        </w:rPr>
        <w:t>כשלדברי הנאשם לא היתה כל כוונה לעשות שימוש פלילי בנשק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באופן כללי קצינת המבחן התרשמה מאדם בעל דפוסי חיים חיוביים</w:t>
      </w:r>
      <w:r>
        <w:rPr>
          <w:rtl w:val="true"/>
        </w:rPr>
        <w:t xml:space="preserve">, </w:t>
      </w:r>
      <w:r>
        <w:rPr>
          <w:rtl w:val="true"/>
        </w:rPr>
        <w:t xml:space="preserve">אולם בשל הסתבכותו בעבירה נוספת עקב פרשייה זו </w:t>
      </w:r>
      <w:r>
        <w:rPr>
          <w:rtl w:val="true"/>
        </w:rPr>
        <w:t>(</w:t>
      </w:r>
      <w:hyperlink r:id="rId1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39173-10-10</w:t>
        </w:r>
      </w:hyperlink>
      <w:r>
        <w:rPr>
          <w:rtl w:val="true"/>
        </w:rPr>
        <w:t xml:space="preserve">), </w:t>
      </w:r>
      <w:r>
        <w:rPr>
          <w:rtl w:val="true"/>
        </w:rPr>
        <w:t>שעיקרה הבעת איום כלפי שופט המעצרים וכלפי התובעת בתיק זה</w:t>
      </w:r>
      <w:r>
        <w:rPr>
          <w:rtl w:val="true"/>
        </w:rPr>
        <w:t xml:space="preserve">, </w:t>
      </w:r>
      <w:r>
        <w:rPr>
          <w:rtl w:val="true"/>
        </w:rPr>
        <w:t>נמנעה ממתן המלצה טיפולית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אין חולק כי עבירות הנשק הן בעלות חומרה המצדיקה על</w:t>
      </w:r>
      <w:r>
        <w:rPr>
          <w:rtl w:val="true"/>
        </w:rPr>
        <w:t>-</w:t>
      </w:r>
      <w:r>
        <w:rPr>
          <w:rtl w:val="true"/>
        </w:rPr>
        <w:t>פי רוב עונשים כבדים</w:t>
      </w:r>
      <w:r>
        <w:rPr>
          <w:rtl w:val="true"/>
        </w:rPr>
        <w:t xml:space="preserve">, </w:t>
      </w:r>
      <w:r>
        <w:rPr>
          <w:rtl w:val="true"/>
        </w:rPr>
        <w:t>ועל עניין זה עמדתי לא אחת בעבר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כתב האישום במקרה זה מתאר עבירת ניסיון בשלביה המוקדמים ביותר</w:t>
      </w:r>
      <w:r>
        <w:rPr>
          <w:rtl w:val="true"/>
        </w:rPr>
        <w:t xml:space="preserve">, </w:t>
      </w:r>
      <w:r>
        <w:rPr>
          <w:rtl w:val="true"/>
        </w:rPr>
        <w:t>ללא שנלוו אליה מעשים אקטיביים לקידום רכישת הנשק פרט לשיחות טלפון</w:t>
      </w:r>
      <w:r>
        <w:rPr>
          <w:rtl w:val="true"/>
        </w:rPr>
        <w:t xml:space="preserve">. </w:t>
      </w:r>
      <w:r>
        <w:rPr>
          <w:rtl w:val="true"/>
        </w:rPr>
        <w:t>במצב זה אין מקום להחמיר עם הנאשם יתר על המידה</w:t>
      </w:r>
      <w:r>
        <w:rPr>
          <w:rtl w:val="true"/>
        </w:rPr>
        <w:t xml:space="preserve">, </w:t>
      </w:r>
      <w:r>
        <w:rPr>
          <w:rtl w:val="true"/>
        </w:rPr>
        <w:t>ובודאי כאשר מדובר בנאשם נעדר עבר פלילי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נראה לי כי הן המאשימה והן שירות המבחן מבקשים להחמיר עם נאשם זה עקב עבירת האיומים בה הורשע במסגרתו של תיק אחר</w:t>
      </w:r>
      <w:r>
        <w:rPr>
          <w:rtl w:val="true"/>
        </w:rPr>
        <w:t xml:space="preserve">. </w:t>
      </w:r>
      <w:r>
        <w:rPr>
          <w:rtl w:val="true"/>
        </w:rPr>
        <w:t>בעניין זה אציין כי מאחר ובעניין האיומים מתנהל נגד הנאשם הליך נפרד אין כל מקום להענישו פעמיים</w:t>
      </w:r>
      <w:r>
        <w:rPr>
          <w:rtl w:val="true"/>
        </w:rPr>
        <w:t xml:space="preserve">, </w:t>
      </w:r>
      <w:r>
        <w:rPr>
          <w:rtl w:val="true"/>
        </w:rPr>
        <w:t>ואין כל מקום להכניס עניין זה לשיקולי הענישה בתיק המתנהל בפניי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לצד דבריי אלה עליי להדגיש כי ניסיונותיו של הנאשם להשיג נשק שלא כחוק חרף התליית רישיונו מלמדים על זלזול בחוק</w:t>
      </w:r>
      <w:r>
        <w:rPr>
          <w:rtl w:val="true"/>
        </w:rPr>
        <w:t xml:space="preserve">, </w:t>
      </w:r>
      <w:r>
        <w:rPr>
          <w:rtl w:val="true"/>
        </w:rPr>
        <w:t>ועל חוסר השלמה עם מרות השלטונות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 חי עד כה חיים נורמטיביים ופרודוקטיביים</w:t>
      </w:r>
      <w:r>
        <w:rPr>
          <w:rtl w:val="true"/>
        </w:rPr>
        <w:t xml:space="preserve">, </w:t>
      </w:r>
      <w:r>
        <w:rPr>
          <w:rtl w:val="true"/>
        </w:rPr>
        <w:t>כשל במעשיו</w:t>
      </w:r>
      <w:r>
        <w:rPr>
          <w:rtl w:val="true"/>
        </w:rPr>
        <w:t xml:space="preserve">, </w:t>
      </w:r>
      <w:r>
        <w:rPr>
          <w:rtl w:val="true"/>
        </w:rPr>
        <w:t>כך על</w:t>
      </w:r>
      <w:r>
        <w:rPr>
          <w:rtl w:val="true"/>
        </w:rPr>
        <w:t>-</w:t>
      </w:r>
      <w:r>
        <w:rPr>
          <w:rtl w:val="true"/>
        </w:rPr>
        <w:t>פי הודאתו הוא</w:t>
      </w:r>
      <w:r>
        <w:rPr>
          <w:rtl w:val="true"/>
        </w:rPr>
        <w:t xml:space="preserve">, </w:t>
      </w:r>
      <w:r>
        <w:rPr>
          <w:rtl w:val="true"/>
        </w:rPr>
        <w:t>ויש צורך להענישו באופן שיהווה הרתעה ראויה</w:t>
      </w:r>
      <w:r>
        <w:rPr>
          <w:rtl w:val="true"/>
        </w:rPr>
        <w:t xml:space="preserve">,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תוך מתן הזדמנות לשיקום ולחזרה אל מסלול החיים הנורמטיבי</w:t>
      </w:r>
      <w:r>
        <w:rPr>
          <w:rtl w:val="true"/>
        </w:rPr>
        <w:t xml:space="preserve">, </w:t>
      </w:r>
      <w:r>
        <w:rPr>
          <w:rtl w:val="true"/>
        </w:rPr>
        <w:t>מאידך גיסא</w:t>
      </w:r>
      <w:r>
        <w:rPr>
          <w:rtl w:val="true"/>
        </w:rPr>
        <w:t xml:space="preserve">. </w:t>
      </w:r>
      <w:r>
        <w:rPr>
          <w:rtl w:val="true"/>
        </w:rPr>
        <w:t>לשם כך אין כל מקום להורות על מאסר ממושך</w:t>
      </w:r>
      <w:r>
        <w:rPr>
          <w:rtl w:val="true"/>
        </w:rPr>
        <w:t xml:space="preserve">, </w:t>
      </w:r>
      <w:r>
        <w:rPr>
          <w:rtl w:val="true"/>
        </w:rPr>
        <w:t>כפי שמבקשת המאשימה</w:t>
      </w:r>
      <w:r>
        <w:rPr>
          <w:rtl w:val="true"/>
        </w:rPr>
        <w:t xml:space="preserve">, </w:t>
      </w:r>
      <w:r>
        <w:rPr>
          <w:rtl w:val="true"/>
        </w:rPr>
        <w:t>וניתן להסתפק בעונש פחות בחומרתו וצופה פני עתיד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אני מטיל על הנאשם את העונשים הבאים</w:t>
      </w:r>
      <w:r>
        <w:rPr>
          <w:rtl w:val="true"/>
        </w:rPr>
        <w:t>: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לנשיאה בפועל בניכוי ימי מעצרו מיום </w:t>
      </w:r>
      <w:r>
        <w:rPr/>
        <w:t>17.2.10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2.6.10</w:t>
      </w:r>
      <w:r>
        <w:rPr>
          <w:rtl w:val="true"/>
        </w:rPr>
        <w:t xml:space="preserve">, </w:t>
      </w:r>
      <w:r>
        <w:rPr>
          <w:rtl w:val="true"/>
        </w:rPr>
        <w:t xml:space="preserve">ואילו היתרה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בפרק זמן זה עבירת נשק שיורשע בגינה</w:t>
      </w:r>
      <w:r>
        <w:rPr>
          <w:rtl w:val="true"/>
        </w:rPr>
        <w:t>.</w:t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המשמעות המעשית הינה</w:t>
      </w:r>
      <w:r>
        <w:rPr>
          <w:rtl w:val="true"/>
        </w:rPr>
        <w:t xml:space="preserve">, </w:t>
      </w:r>
      <w:r>
        <w:rPr>
          <w:rtl w:val="true"/>
        </w:rPr>
        <w:t>כי הנאשם כבר ריצה את עונש מאסרו</w:t>
      </w:r>
      <w:r>
        <w:rPr>
          <w:rtl w:val="true"/>
        </w:rPr>
        <w:t xml:space="preserve">. </w:t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קנס על סך 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 xml:space="preserve">. </w:t>
      </w:r>
      <w:r>
        <w:rPr>
          <w:rtl w:val="true"/>
        </w:rPr>
        <w:t>במידה וקיים בתיק  פיקדון</w:t>
      </w:r>
      <w:r>
        <w:rPr>
          <w:rtl w:val="true"/>
        </w:rPr>
        <w:t xml:space="preserve">, </w:t>
      </w:r>
      <w:r>
        <w:rPr>
          <w:rtl w:val="true"/>
        </w:rPr>
        <w:t>סכום הפיקדון יקוזז לטובת הקנס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#5#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10/11/2011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גזר הדין הושמע והוקרא 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 אשר קולה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54678313-25/10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  <w:r>
        <w:rPr>
          <w:rtl w:val="true"/>
        </w:rPr>
        <w:t xml:space="preserve"> </w:t>
      </w:r>
    </w:p>
    <w:tbl>
      <w:tblPr>
        <w:bidiVisual w:val="true"/>
        <w:tblW w:w="296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</w:tblGrid>
      <w:tr>
        <w:trPr/>
        <w:tc>
          <w:tcPr>
            <w:tcW w:w="2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אשר קולה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25-10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האני כחלול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Style14">
    <w:name w:val="פזית"/>
    <w:basedOn w:val="Normal"/>
    <w:qFormat/>
    <w:pPr>
      <w:spacing w:lineRule="auto" w:line="36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case/6024035" TargetMode="External"/><Relationship Id="rId10" Type="http://schemas.openxmlformats.org/officeDocument/2006/relationships/hyperlink" Target="http://www.nevo.co.il/case/4222827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2016-05-10T15:11:00Z</dcterms:created>
  <dc:creator> </dc:creator>
  <dc:description/>
  <cp:keywords/>
  <dc:language>en-IL</dc:language>
  <cp:lastModifiedBy>yafit</cp:lastModifiedBy>
  <dcterms:modified xsi:type="dcterms:W3CDTF">2016-05-10T15:11:00Z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האני כחלול;עלאא מרעי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6024035;4222827</vt:lpwstr>
  </property>
  <property fmtid="{D5CDD505-2E9C-101B-9397-08002B2CF9AE}" pid="9" name="CITY">
    <vt:lpwstr>נצ'</vt:lpwstr>
  </property>
  <property fmtid="{D5CDD505-2E9C-101B-9397-08002B2CF9AE}" pid="10" name="DATE">
    <vt:lpwstr>20111110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תאופיק כתילי</vt:lpwstr>
  </property>
  <property fmtid="{D5CDD505-2E9C-101B-9397-08002B2CF9AE}" pid="14" name="LAWLISTTMP1">
    <vt:lpwstr>70301/499.a.1;144.a;025</vt:lpwstr>
  </property>
  <property fmtid="{D5CDD505-2E9C-101B-9397-08002B2CF9AE}" pid="15" name="LAWYER">
    <vt:lpwstr>לימור לוי מלאך;שירי שחף אופק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25</vt:lpwstr>
  </property>
  <property fmtid="{D5CDD505-2E9C-101B-9397-08002B2CF9AE}" pid="22" name="NEWPARTB">
    <vt:lpwstr/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25</vt:lpwstr>
  </property>
  <property fmtid="{D5CDD505-2E9C-101B-9397-08002B2CF9AE}" pid="30" name="PROCYEAR">
    <vt:lpwstr>10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390020111110</vt:lpwstr>
  </property>
  <property fmtid="{D5CDD505-2E9C-101B-9397-08002B2CF9AE}" pid="34" name="TYPE_N_DATE">
    <vt:lpwstr>39020111110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