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4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25009-02-23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אלדרארגה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תרם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סלאח אלדרארגה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ציון אמיר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במסגרת הסדר דיוני בעובדות כתב אישום מתוקן </w:t>
      </w:r>
      <w:r>
        <w:rPr>
          <w:b/>
          <w:b/>
          <w:bCs/>
          <w:rtl w:val="true"/>
        </w:rPr>
        <w:t xml:space="preserve">בעבירת נשיאה והובלת נשק ותחמושת </w:t>
      </w:r>
      <w:r>
        <w:rPr>
          <w:rtl w:val="true"/>
        </w:rPr>
        <w:t xml:space="preserve">לפי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2.2.23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21:35</w:t>
      </w:r>
      <w:r>
        <w:rPr>
          <w:rtl w:val="true"/>
        </w:rPr>
        <w:t xml:space="preserve">, </w:t>
      </w:r>
      <w:r>
        <w:rPr>
          <w:rtl w:val="true"/>
        </w:rPr>
        <w:t>נהג הנאשם ברכב מביתו שבכסיפה לטייבה כשהוא נושא עמו שלא כדין אקדח עם מחסנית בתוכו</w:t>
      </w:r>
      <w:r>
        <w:rPr>
          <w:rtl w:val="true"/>
        </w:rPr>
        <w:t xml:space="preserve">, </w:t>
      </w:r>
      <w:r>
        <w:rPr>
          <w:rtl w:val="true"/>
        </w:rPr>
        <w:t>שהונח ברכב בתא שבין מושב הנהג למושב הנוסע</w:t>
      </w:r>
      <w:r>
        <w:rPr>
          <w:rtl w:val="true"/>
        </w:rPr>
        <w:t xml:space="preserve">, </w:t>
      </w:r>
      <w:r>
        <w:rPr>
          <w:rtl w:val="true"/>
        </w:rPr>
        <w:t>עטופים בבד שחור</w:t>
      </w:r>
      <w:r>
        <w:rPr>
          <w:rtl w:val="true"/>
        </w:rPr>
        <w:t xml:space="preserve">. </w:t>
      </w:r>
      <w:r>
        <w:rPr>
          <w:rtl w:val="true"/>
        </w:rPr>
        <w:t xml:space="preserve">עוד נתפסו בכיס המעיל שלבש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 תחמושת תואמים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9.7.23</w:t>
      </w:r>
      <w:r>
        <w:rPr>
          <w:rtl w:val="true"/>
        </w:rPr>
        <w:t xml:space="preserve"> </w:t>
      </w:r>
      <w:r>
        <w:rPr>
          <w:rtl w:val="true"/>
        </w:rPr>
        <w:t>הציגו הצדדים הסדר דיוני</w:t>
      </w:r>
      <w:r>
        <w:rPr>
          <w:rtl w:val="true"/>
        </w:rPr>
        <w:t xml:space="preserve">, </w:t>
      </w:r>
      <w:r>
        <w:rPr>
          <w:rtl w:val="true"/>
        </w:rPr>
        <w:t>במסגרתו הודה והורשע הנאשם בעובדות כתב האישום המתוקן והופנה לתסקיר שירות המבחן</w:t>
      </w:r>
      <w:r>
        <w:rPr>
          <w:rtl w:val="true"/>
        </w:rPr>
        <w:t xml:space="preserve">. </w:t>
      </w:r>
      <w:r>
        <w:rPr>
          <w:rtl w:val="true"/>
        </w:rPr>
        <w:t>הצדדים לא הגיעו להסכמות עונשיות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ללא הרשעות קודמות</w:t>
      </w:r>
      <w:r>
        <w:rPr>
          <w:rtl w:val="true"/>
        </w:rPr>
        <w:t xml:space="preserve">, </w:t>
      </w:r>
      <w:r>
        <w:rPr>
          <w:rtl w:val="true"/>
        </w:rPr>
        <w:t>נשוי מזה כשנה</w:t>
      </w:r>
      <w:r>
        <w:rPr>
          <w:rtl w:val="true"/>
        </w:rPr>
        <w:t xml:space="preserve">, </w:t>
      </w:r>
      <w:r>
        <w:rPr>
          <w:rtl w:val="true"/>
        </w:rPr>
        <w:t>מצפה ללידת בנו הבכור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מאז סיום לימודיו עבד בעסק משפחתי בתחום שטיפת רכבים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קיבל אחריות מלאה על מעורבותו בעבירה</w:t>
      </w:r>
      <w:r>
        <w:rPr>
          <w:rtl w:val="true"/>
        </w:rPr>
        <w:t xml:space="preserve"> ושלל כוונה פלילית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מצא נשק שהיה מוטל בשדה בו רעה את צאן משפחתו</w:t>
      </w:r>
      <w:r>
        <w:rPr>
          <w:rtl w:val="true"/>
        </w:rPr>
        <w:t xml:space="preserve">, </w:t>
      </w:r>
      <w:r>
        <w:rPr>
          <w:rtl w:val="true"/>
        </w:rPr>
        <w:t>והחליט ליטול אותו לידיו כדי שלא יימצא על ידי נערים שהסתובבו בקרבת מקום</w:t>
      </w:r>
      <w:r>
        <w:rPr>
          <w:rtl w:val="true"/>
        </w:rPr>
        <w:t xml:space="preserve">, </w:t>
      </w:r>
      <w:r>
        <w:rPr>
          <w:rtl w:val="true"/>
        </w:rPr>
        <w:t>שעלולים לעשות בו שימוש לרעה</w:t>
      </w:r>
      <w:r>
        <w:rPr>
          <w:rtl w:val="true"/>
        </w:rPr>
        <w:t xml:space="preserve">. </w:t>
      </w:r>
      <w:r>
        <w:rPr>
          <w:rtl w:val="true"/>
        </w:rPr>
        <w:t>הנאשם החזיק את הנשק מספר ימים בביתו וביום שנתפס ברכבו</w:t>
      </w:r>
      <w:r>
        <w:rPr>
          <w:rtl w:val="true"/>
        </w:rPr>
        <w:t xml:space="preserve">, </w:t>
      </w:r>
      <w:r>
        <w:rPr>
          <w:rtl w:val="true"/>
        </w:rPr>
        <w:t>תכנן להעבירו למשטרה</w:t>
      </w:r>
      <w:r>
        <w:rPr>
          <w:rtl w:val="true"/>
        </w:rPr>
        <w:t xml:space="preserve">. </w:t>
      </w:r>
      <w:r>
        <w:rPr>
          <w:rtl w:val="true"/>
        </w:rPr>
        <w:t>לדבריו מעצרו וההליך הפלילי היוו גורמים מציבי גבול</w:t>
      </w:r>
      <w:r>
        <w:rPr>
          <w:rtl w:val="true"/>
        </w:rPr>
        <w:t xml:space="preserve">, </w:t>
      </w:r>
      <w:r>
        <w:rPr>
          <w:rtl w:val="true"/>
        </w:rPr>
        <w:t>כמו גם המחירים ששילם כתוצאה מהסתבכותו – אכזבת משפחתו ממנו והפגיעה ביכולתו להתפרנס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באשר להליך הטיפולי</w:t>
      </w:r>
      <w:r>
        <w:rPr>
          <w:rtl w:val="true"/>
        </w:rPr>
        <w:t xml:space="preserve">, </w:t>
      </w:r>
      <w:r>
        <w:rPr>
          <w:rtl w:val="true"/>
        </w:rPr>
        <w:t>הנאשם שולב בטיפול קבוצתי ייעודי לעצורי בית במסגרת הליך המעצר</w:t>
      </w:r>
      <w:r>
        <w:rPr>
          <w:rtl w:val="true"/>
        </w:rPr>
        <w:t xml:space="preserve">. </w:t>
      </w:r>
      <w:r>
        <w:rPr>
          <w:rtl w:val="true"/>
        </w:rPr>
        <w:t>לאורך ההליך שיתף פעולה ובתכנים מעולמו</w:t>
      </w:r>
      <w:r>
        <w:rPr>
          <w:rtl w:val="true"/>
        </w:rPr>
        <w:t xml:space="preserve">. </w:t>
      </w:r>
      <w:r>
        <w:rPr>
          <w:rtl w:val="true"/>
        </w:rPr>
        <w:t xml:space="preserve">עם סיום השתתפותו בקבוצה נרשם לקורס מנהל עסקים בפרויקט </w:t>
      </w:r>
      <w:r>
        <w:rPr>
          <w:rtl w:val="true"/>
        </w:rPr>
        <w:t>"</w:t>
      </w:r>
      <w:r>
        <w:rPr>
          <w:rtl w:val="true"/>
        </w:rPr>
        <w:t>אוניברסיטה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במסגרת שירות המבחן וצפוי להתחיל את הלימודים בקרוב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הנאשם אינו בעל דפוסי עבריינות מושרשים ומביע שאיפות לניהול אורח חיים שומר חוק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עלתה ההתרשמות כי מתקשה לבחון באופן מעמיק את המניעים להתנהגותו ומביע עמדה מצמצמת ומטשטשת ביחס לנסיבות</w:t>
      </w:r>
      <w:r>
        <w:rPr>
          <w:rtl w:val="true"/>
        </w:rPr>
        <w:t xml:space="preserve">. </w:t>
      </w:r>
      <w:r>
        <w:rPr>
          <w:rtl w:val="true"/>
        </w:rPr>
        <w:t>עוד הוערך כי מתקשה להעריך מצבים בעייתיים וכי במצבים מסוימים עלול להיגרר להתנהגות אימפולסיבית ומסוכנת ללא הפעלת שיקול דעת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ובהתחשב בגילו הצעיר</w:t>
      </w:r>
      <w:r>
        <w:rPr>
          <w:rtl w:val="true"/>
        </w:rPr>
        <w:t xml:space="preserve">, </w:t>
      </w:r>
      <w:r>
        <w:rPr>
          <w:rtl w:val="true"/>
        </w:rPr>
        <w:t>שיתוף הפעולה והמוטיבציה שהביע</w:t>
      </w:r>
      <w:r>
        <w:rPr>
          <w:rtl w:val="true"/>
        </w:rPr>
        <w:t xml:space="preserve">, </w:t>
      </w:r>
      <w:r>
        <w:rPr>
          <w:rtl w:val="true"/>
        </w:rPr>
        <w:t>בא בהמלצה להסתפק בעבודות שירות וצו מבחן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עומר סגל</w:t>
      </w:r>
      <w:r>
        <w:rPr>
          <w:rtl w:val="true"/>
        </w:rPr>
        <w:t xml:space="preserve">, </w:t>
      </w:r>
      <w:r>
        <w:rPr>
          <w:rtl w:val="true"/>
        </w:rPr>
        <w:t>עמד בטיעוניו על חומרת המעשים</w:t>
      </w:r>
      <w:r>
        <w:rPr>
          <w:rtl w:val="true"/>
        </w:rPr>
        <w:t xml:space="preserve">, </w:t>
      </w:r>
      <w:r>
        <w:rPr>
          <w:rtl w:val="true"/>
        </w:rPr>
        <w:t>פגיעתו בערכים המוגנים של הגנה על שלום הציבור וביטחונו והסיכון הרב הגלום בנשיאת אקדח ברכב עם תחמושת תואמת</w:t>
      </w:r>
      <w:r>
        <w:rPr>
          <w:rtl w:val="true"/>
        </w:rPr>
        <w:t xml:space="preserve">. </w:t>
      </w:r>
      <w:r>
        <w:rPr>
          <w:rtl w:val="true"/>
        </w:rPr>
        <w:t>עוד עמד על מגמת ההחמרה בענישה בעבירות נשק המשתקפת בפסיקת בית המשפט העליון ותיקון החוק</w:t>
      </w:r>
      <w:r>
        <w:rPr>
          <w:rtl w:val="true"/>
        </w:rPr>
        <w:t xml:space="preserve">. </w:t>
      </w:r>
      <w:r>
        <w:rPr>
          <w:rtl w:val="true"/>
        </w:rPr>
        <w:t xml:space="preserve">לפיכך עתר למתחם ענישה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ציין לקולה את הודאת הנאשם</w:t>
      </w:r>
      <w:r>
        <w:rPr>
          <w:rtl w:val="true"/>
        </w:rPr>
        <w:t xml:space="preserve">, </w:t>
      </w:r>
      <w:r>
        <w:rPr>
          <w:rtl w:val="true"/>
        </w:rPr>
        <w:t>היעדר עבר פלילי ולקיחת האחריות</w:t>
      </w:r>
      <w:r>
        <w:rPr>
          <w:rtl w:val="true"/>
        </w:rPr>
        <w:t xml:space="preserve">, </w:t>
      </w:r>
      <w:r>
        <w:rPr>
          <w:rtl w:val="true"/>
        </w:rPr>
        <w:t>ומנגד טען כי תוכן התסקיר מלמד שהנאשם מפחית מחומרת מעשיו</w:t>
      </w:r>
      <w:r>
        <w:rPr>
          <w:rtl w:val="true"/>
        </w:rPr>
        <w:t xml:space="preserve">, </w:t>
      </w:r>
      <w:r>
        <w:rPr>
          <w:rtl w:val="true"/>
        </w:rPr>
        <w:t>וכי קבוצת הטיפול שסיים היא ראשונית בלבד</w:t>
      </w:r>
      <w:r>
        <w:rPr>
          <w:rtl w:val="true"/>
        </w:rPr>
        <w:t xml:space="preserve">. </w:t>
      </w:r>
      <w:r>
        <w:rPr>
          <w:rtl w:val="true"/>
        </w:rPr>
        <w:t>בהתחשב בנתוניו עתר למקמו בחלקו התחתון של המתחם לצד ענישה נלווית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ציון אמיר</w:t>
      </w:r>
      <w:r>
        <w:rPr>
          <w:rtl w:val="true"/>
        </w:rPr>
        <w:t xml:space="preserve">, </w:t>
      </w:r>
      <w:r>
        <w:rPr>
          <w:rtl w:val="true"/>
        </w:rPr>
        <w:t>ביקש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סבור שנסיבות ביצוע העבירה מלמדות על עבירת נשק ברף נמוך ביותר והפנה בעניין זה להנחיית פרקליט המדינה הרלוונטית </w:t>
      </w:r>
      <w:r>
        <w:rPr>
          <w:rtl w:val="true"/>
        </w:rPr>
        <w:t>(</w:t>
      </w:r>
      <w:r>
        <w:rPr>
          <w:rtl w:val="true"/>
        </w:rPr>
        <w:t>סומן 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וכי עמדת המאשימה מחמירה יתר על המידה</w:t>
      </w:r>
      <w:r>
        <w:rPr>
          <w:rtl w:val="true"/>
        </w:rPr>
        <w:t xml:space="preserve">. </w:t>
      </w:r>
      <w:r>
        <w:rPr>
          <w:rtl w:val="true"/>
        </w:rPr>
        <w:t>עוד טען כי העבירה בוצעה לפני כשנה</w:t>
      </w:r>
      <w:r>
        <w:rPr>
          <w:rtl w:val="true"/>
        </w:rPr>
        <w:t xml:space="preserve">, </w:t>
      </w:r>
      <w:r>
        <w:rPr>
          <w:rtl w:val="true"/>
        </w:rPr>
        <w:t>הנאשם שיתף פעולה עם גורמי הטיפול לאורך כל ההליך הפלילי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תוכן התסקיר אינו משקף נכונה את עמדתו באשר להתנהגות עוברת חוק</w:t>
      </w:r>
      <w:r>
        <w:rPr>
          <w:rtl w:val="true"/>
        </w:rPr>
        <w:t xml:space="preserve">. </w:t>
      </w:r>
      <w:r>
        <w:rPr>
          <w:rtl w:val="true"/>
        </w:rPr>
        <w:t>נסיבות אלה מצדיקות לשיטתו סטייה לקולא מהמתחם ולפיכך עתר לענישה בדרך של עבודות שירות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הצדדים הגישו פסיקה לתמיכה בעתירתם העונשית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הצטרף לדברי בא כוחו והצר על מעשיו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עבירות הנשק הפכו זה מכבר למכת מדינה ומגלמות סכנה ממשית לשלום הציבור ולביטחונו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חומרתן היתרה של עבירות אלה אינה מתמצה אך בעבירות גופן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בפוטנציאל הנזק הנובע מהן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מגמת הפסיקה בשנים האחרונות מלמדת על החמרה בענישה לצורך מיגור עבירות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מתן משקל לשיקולי הרתעה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מגמה זו אחידה ועיקבית ביחס לכלל עברייני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אף כשהם נעדרי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והאירוע הוא בגדר חריג בנוף חייהם הנורמטיבי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פלוני</w:t>
      </w:r>
      <w:r>
        <w:rPr>
          <w:rtl w:val="true"/>
        </w:rPr>
        <w:t xml:space="preserve">");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Fonts w:ascii="Times New Roman" w:hAnsi="Times New Roman" w:eastAsia="Times New Roman" w:cs="Times New Roman"/>
          <w:rtl w:val="true"/>
        </w:rPr>
        <w:t>מגמה זו קיבלה ביטוי גם בחקיקה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במסגרת תיקון </w:t>
      </w:r>
      <w:r>
        <w:rPr>
          <w:rFonts w:eastAsia="Times New Roman" w:cs="Times New Roman" w:ascii="Times New Roman" w:hAnsi="Times New Roman"/>
        </w:rPr>
        <w:t>140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לחוק שנכנס לתוקף ביום </w:t>
      </w:r>
      <w:r>
        <w:rPr>
          <w:rFonts w:eastAsia="Times New Roman" w:cs="Times New Roman" w:ascii="Times New Roman" w:hAnsi="Times New Roman"/>
        </w:rPr>
        <w:t>8.12.21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בו נקבעו עונשי מינימום לעבירות נשק באשר 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באופן שככלל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העונש שיושת בגין עבירות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יפחת מרבע העונש המרבי שנקבע לעבירה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ניתן שחלקו יהא צופה פני עתיד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rtl w:val="true"/>
        </w:rPr>
        <w:t>אשר לנסיבות מעשי הנאשם</w:t>
      </w:r>
      <w:r>
        <w:rPr>
          <w:rtl w:val="true"/>
        </w:rPr>
        <w:t xml:space="preserve">- </w:t>
      </w:r>
      <w:r>
        <w:rPr>
          <w:rtl w:val="true"/>
        </w:rPr>
        <w:t>הנאשם הוביל ברכבו אקדח טעון במחסנית ותחמושת תואמת כברת דרך ארוכה</w:t>
      </w:r>
      <w:r>
        <w:rPr>
          <w:rtl w:val="true"/>
        </w:rPr>
        <w:t xml:space="preserve">, </w:t>
      </w:r>
      <w:r>
        <w:rPr>
          <w:rtl w:val="true"/>
        </w:rPr>
        <w:t>מביתו בדרום לכיוון העיר טייבה</w:t>
      </w:r>
      <w:r>
        <w:rPr>
          <w:rtl w:val="true"/>
        </w:rPr>
        <w:t xml:space="preserve">. </w:t>
      </w:r>
      <w:r>
        <w:rPr>
          <w:rtl w:val="true"/>
        </w:rPr>
        <w:t>הרקע למעשיו נותר עלום</w:t>
      </w:r>
      <w:r>
        <w:rPr>
          <w:rtl w:val="true"/>
        </w:rPr>
        <w:t xml:space="preserve">, </w:t>
      </w:r>
      <w:r>
        <w:rPr>
          <w:rtl w:val="true"/>
        </w:rPr>
        <w:t>כך גם הסיבה בגינה העביר את האקדח לעיר טייבה</w:t>
      </w:r>
      <w:r>
        <w:rPr>
          <w:rtl w:val="true"/>
        </w:rPr>
        <w:t xml:space="preserve">. </w:t>
      </w:r>
      <w:r>
        <w:rPr>
          <w:rtl w:val="true"/>
        </w:rPr>
        <w:t>הסברי הנאשם בתסקירו</w:t>
      </w:r>
      <w:r>
        <w:rPr>
          <w:rtl w:val="true"/>
        </w:rPr>
        <w:t xml:space="preserve">, </w:t>
      </w:r>
      <w:r>
        <w:rPr>
          <w:rtl w:val="true"/>
        </w:rPr>
        <w:t>כי מצא את האקדח ונטלו כדי למנוע שימוש בו ולהעבירו למשטרה אינם מתיישבים עם נסיבות התיק והובלת האקדח למקום המרוחק מביתו</w:t>
      </w:r>
      <w:r>
        <w:rPr>
          <w:rtl w:val="true"/>
        </w:rPr>
        <w:t xml:space="preserve">, </w:t>
      </w:r>
      <w:r>
        <w:rPr>
          <w:rtl w:val="true"/>
        </w:rPr>
        <w:t>ועם תפיסת התחמושת בכיס מעילו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אניח לטובתו כי מדובר בנשיאת אקדח קצרת מועד</w:t>
      </w:r>
      <w:r>
        <w:rPr>
          <w:rtl w:val="true"/>
        </w:rPr>
        <w:t xml:space="preserve">, </w:t>
      </w:r>
      <w:r>
        <w:rPr>
          <w:rtl w:val="true"/>
        </w:rPr>
        <w:t>וכן לא הוצגה כל אינדיקציה לשימוש בו למטרות פליליות</w:t>
      </w:r>
      <w:r>
        <w:rPr>
          <w:rtl w:val="true"/>
        </w:rPr>
        <w:t xml:space="preserve">. </w:t>
      </w:r>
      <w:r>
        <w:rPr>
          <w:rtl w:val="true"/>
        </w:rPr>
        <w:t>פוטנציאל הנזק ממעשיו ממשי</w:t>
      </w:r>
      <w:r>
        <w:rPr>
          <w:rtl w:val="true"/>
        </w:rPr>
        <w:t xml:space="preserve">, </w:t>
      </w:r>
      <w:r>
        <w:rPr>
          <w:rtl w:val="true"/>
        </w:rPr>
        <w:t>הנאשם החזיק אקדח ותחמושת תואמת המאפשרת שימוש מיידי בו</w:t>
      </w:r>
      <w:r>
        <w:rPr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בערכים המוגנים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גבוה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בפסיקה ענפה הושתו על נושאי נשק עונשי מאסר מאחורי סורג ובריח לתקופות לא קצרות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צעירים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אף בעבירות שבוצעו בנסיבות ברף חומרה 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ללמדנו כי הענישה 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 העונשי הנגזר ממדיניות הענישה האמורה הוא כי שומר נפשו ושלומו – ירחק מעבירות הנשק באשר 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 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78/21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פלוני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התקבל ערעור מדינה בעניינו של 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שנשא אקדח טעון ברכב ונגזרו עליו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6806/23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סעדיאיב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27.9.23</w:t>
      </w:r>
      <w:r>
        <w:rPr>
          <w:rtl w:val="true"/>
        </w:rPr>
        <w:t xml:space="preserve">) </w:t>
      </w:r>
      <w:r>
        <w:rPr>
          <w:rtl w:val="true"/>
        </w:rPr>
        <w:t>נדחה ערעור נאשם שהורשע בעבירות החזקת ונשיאת אקדח טעון על גופו</w:t>
      </w:r>
      <w:r>
        <w:rPr>
          <w:rtl w:val="true"/>
        </w:rPr>
        <w:t xml:space="preserve">. </w:t>
      </w:r>
      <w:r>
        <w:rPr>
          <w:rtl w:val="true"/>
        </w:rPr>
        <w:t>בדירתו החזיק תחמושת נוספת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נוכח מצבו הרפואי הלא פשוט</w:t>
      </w:r>
      <w:r>
        <w:rPr>
          <w:rtl w:val="true"/>
        </w:rPr>
        <w:t xml:space="preserve">, </w:t>
      </w:r>
      <w:r>
        <w:rPr>
          <w:rtl w:val="true"/>
        </w:rPr>
        <w:t>ובצד זאת עבר פלילי בעבירות סמים ורכוש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טאהא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), </w:t>
      </w:r>
      <w:r>
        <w:rPr>
          <w:rtl w:val="true"/>
        </w:rPr>
        <w:t>נדחה ערעורו של נאשם שהורשע בכך שהוביל ברכב</w:t>
      </w:r>
      <w:r>
        <w:rPr>
          <w:rtl w:val="true"/>
        </w:rPr>
        <w:t xml:space="preserve">, </w:t>
      </w:r>
      <w:r>
        <w:rPr>
          <w:rtl w:val="true"/>
        </w:rPr>
        <w:t>לבקשת חברו</w:t>
      </w:r>
      <w:r>
        <w:rPr>
          <w:rtl w:val="true"/>
        </w:rPr>
        <w:t xml:space="preserve">, </w:t>
      </w:r>
      <w:r>
        <w:rPr>
          <w:rtl w:val="true"/>
        </w:rPr>
        <w:t>שקית ובתוכה תת</w:t>
      </w:r>
      <w:r>
        <w:rPr>
          <w:rtl w:val="true"/>
        </w:rPr>
        <w:t>-</w:t>
      </w:r>
      <w:r>
        <w:rPr>
          <w:rtl w:val="true"/>
        </w:rPr>
        <w:t>מקלע מאולתר ותחמושת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הנע בין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 של הנאשם נדחה תוך שנקבע</w:t>
      </w:r>
      <w:r>
        <w:rPr>
          <w:rtl w:val="true"/>
        </w:rPr>
        <w:t xml:space="preserve">, </w:t>
      </w:r>
      <w:r>
        <w:rPr>
          <w:rtl w:val="true"/>
        </w:rPr>
        <w:t>והדברים יפים גם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ההסעה ה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תמימה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 נשק מסוג 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 מנקודה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לנקודה 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נועדה בסבירות גבוהה לסייע לביצוע 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ורק בנס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ובזכות תושייתו של השוטר שערך את החיפוש ברכב התמים למראה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הסתיים האירוע ללא נפגעים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>);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3186/22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23.2.23</w:t>
      </w:r>
      <w:r>
        <w:rPr>
          <w:rtl w:val="true"/>
        </w:rPr>
        <w:t xml:space="preserve">) </w:t>
      </w:r>
      <w:r>
        <w:rPr>
          <w:rtl w:val="true"/>
        </w:rPr>
        <w:t>נדון עניינו של נאשם שנשא והוביל בקטנוע אקדח טעון גנוב</w:t>
      </w:r>
      <w:r>
        <w:rPr>
          <w:rtl w:val="true"/>
        </w:rPr>
        <w:t xml:space="preserve">, </w:t>
      </w:r>
      <w:r>
        <w:rPr>
          <w:rtl w:val="true"/>
        </w:rPr>
        <w:t>בחזקתו נמצא סם קנביס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והשית על הנאשם</w:t>
      </w:r>
      <w:r>
        <w:rPr>
          <w:rtl w:val="true"/>
        </w:rPr>
        <w:t xml:space="preserve">, </w:t>
      </w:r>
      <w:r>
        <w:rPr>
          <w:rtl w:val="true"/>
        </w:rPr>
        <w:t>צעיר בעל עבר פלילי משמעותי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הנאשם חזר בו מערעורו לאחר שמיעת הערות בית המשפט העליון</w:t>
      </w:r>
      <w:r>
        <w:rPr>
          <w:rtl w:val="true"/>
        </w:rPr>
        <w:t xml:space="preserve">;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20052-10-23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אלצאנע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7.2.24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נאשם בעבירת </w:t>
      </w:r>
      <w:r>
        <w:rPr>
          <w:rFonts w:ascii="Arial" w:hAnsi="Arial" w:cs="Arial"/>
          <w:b/>
          <w:b/>
          <w:bCs/>
          <w:rtl w:val="true"/>
        </w:rPr>
        <w:t xml:space="preserve">החזקת </w:t>
      </w:r>
      <w:r>
        <w:rPr>
          <w:rFonts w:ascii="Arial" w:hAnsi="Arial" w:cs="Arial"/>
          <w:rtl w:val="true"/>
        </w:rPr>
        <w:t>אקדח טעון במתחם מגורים בו שהה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כשהבחין בשוטרים נמלט מהם והשליך את האקדח בכדי למנוע איתורו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קבעתי מתחם הנע בין </w:t>
      </w:r>
      <w:r>
        <w:rPr>
          <w:rFonts w:cs="Arial" w:ascii="Arial" w:hAnsi="Arial"/>
        </w:rPr>
        <w:t>42-20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למאסר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38050-03-21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 הובלת נשק ותחמושת – אקדח גנוב ושלוש מחסניות גנובות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תואמות ומלאות בתוך ארגז כלים סגור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קבעתי מתחם ענישה הנע בין </w:t>
      </w:r>
      <w:r>
        <w:rPr>
          <w:rFonts w:cs="Arial" w:ascii="Arial" w:hAnsi="Arial"/>
        </w:rPr>
        <w:t>40-20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בשתי הרשעותיו הקודמות בעבירות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חייו הלא פשוטות ומעצרו הממושך נדון למאסר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  <w:b/>
          <w:bCs/>
        </w:rPr>
      </w:pPr>
      <w:r>
        <w:rPr>
          <w:rFonts w:eastAsia="David"/>
          <w:b/>
          <w:bCs/>
          <w:rtl w:val="true"/>
        </w:rPr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ind w:hanging="360" w:start="720" w:end="0"/>
        <w:jc w:val="both"/>
        <w:rPr>
          <w:b/>
          <w:bCs/>
          <w:u w:val="single"/>
        </w:rPr>
      </w:pPr>
      <w:r>
        <w:rPr>
          <w:rFonts w:eastAsia="David"/>
          <w:rtl w:val="true"/>
        </w:rPr>
        <w:t>בהתחשב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20-40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תושב יישוב בדואי</w:t>
      </w:r>
      <w:r>
        <w:rPr>
          <w:rtl w:val="true"/>
        </w:rPr>
        <w:t xml:space="preserve">, </w:t>
      </w:r>
      <w:r>
        <w:rPr>
          <w:rtl w:val="true"/>
        </w:rPr>
        <w:t>נשוי טרי ומצפה ללידת בנו הבכור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בן למשפחה נורמטיבית</w:t>
      </w:r>
      <w:r>
        <w:rPr>
          <w:rtl w:val="true"/>
        </w:rPr>
        <w:t xml:space="preserve">, </w:t>
      </w:r>
      <w:r>
        <w:rPr>
          <w:rtl w:val="true"/>
        </w:rPr>
        <w:t>ניהל אורח חיים תקין עד למעצרו בתיק זה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עובד באופן מסודר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אינו בעל דפוסי עבריינות מושרשים וכי מעצרו בתיק ותגובת המשפחה שגינתה את מעשיו  מהווים גורמים מרתיעים ומפחיתי סיכון</w:t>
      </w:r>
      <w:r>
        <w:rPr>
          <w:rtl w:val="true"/>
        </w:rPr>
        <w:t xml:space="preserve">. </w:t>
      </w:r>
      <w:r>
        <w:rPr>
          <w:rtl w:val="true"/>
        </w:rPr>
        <w:t>הנאשם שיתף פעולה והודה במעשהו אך להערכת שירות המבחן הוא אינו מכיר בבעייתיות במעשיו ומפחית מחומרתם</w:t>
      </w:r>
      <w:r>
        <w:rPr>
          <w:rtl w:val="true"/>
        </w:rPr>
        <w:t xml:space="preserve">, </w:t>
      </w:r>
      <w:r>
        <w:rPr>
          <w:rtl w:val="true"/>
        </w:rPr>
        <w:t>כשבמצבים מסוימים פועל ללא שיקול דעת באופן המהווה סיכון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קבוצה לעצורי בית והשתתף בפרוייקט </w:t>
      </w:r>
      <w:r>
        <w:rPr>
          <w:rtl w:val="true"/>
        </w:rPr>
        <w:t>"</w:t>
      </w:r>
      <w:r>
        <w:rPr>
          <w:rtl w:val="true"/>
        </w:rPr>
        <w:t>אוניברסיטה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"" </w:t>
      </w:r>
      <w:r>
        <w:rPr>
          <w:rtl w:val="true"/>
        </w:rPr>
        <w:t>אך לא שולב בהליך טיפול משמעותי</w:t>
      </w:r>
      <w:r>
        <w:rPr>
          <w:rtl w:val="true"/>
        </w:rPr>
        <w:t xml:space="preserve">. </w:t>
      </w:r>
      <w:r>
        <w:rPr>
          <w:rtl w:val="true"/>
        </w:rPr>
        <w:t>אף המלצתו הסופית של שירות המבחן להסתפק בענישה בדרך של עבודות שירות אינה מבוססת על טעמים טיפוליים</w:t>
      </w:r>
      <w:r>
        <w:rPr>
          <w:rtl w:val="true"/>
        </w:rPr>
        <w:t>-</w:t>
      </w:r>
      <w:r>
        <w:rPr>
          <w:rtl w:val="true"/>
        </w:rPr>
        <w:t>שיקומיים מובהקים אלא על נתוניו החיוביים של 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נסיבות הנאשם ונתתי דעתי למדיניות הפסיקה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כי חרף נתוניו הטובים אין מדובר במקרה חריג ויוצא דופן המאפשר חריגה ממתחם העונש לצרכי שיקום</w:t>
      </w:r>
      <w:r>
        <w:rPr>
          <w:rtl w:val="true"/>
        </w:rPr>
        <w:t xml:space="preserve">. </w:t>
      </w:r>
      <w:r>
        <w:rPr>
          <w:rtl w:val="true"/>
        </w:rPr>
        <w:t>מספר המקרים שבהם הסתפקו בתי המשפט בענישה שיקומית שאינה כוללת מאסר ממש בעבירות נשק מועט</w:t>
      </w:r>
      <w:r>
        <w:rPr>
          <w:rtl w:val="true"/>
        </w:rPr>
        <w:t xml:space="preserve">, </w:t>
      </w:r>
      <w:r>
        <w:rPr>
          <w:rtl w:val="true"/>
        </w:rPr>
        <w:t>ניתן למנותם על אצבעות כף יד אחת</w:t>
      </w:r>
      <w:r>
        <w:rPr>
          <w:rtl w:val="true"/>
        </w:rPr>
        <w:t xml:space="preserve">,  </w:t>
      </w:r>
      <w:r>
        <w:rPr>
          <w:rtl w:val="true"/>
        </w:rPr>
        <w:t xml:space="preserve">לרב מדובר במקרי שיקום יוצאי דופן או מקרים </w:t>
      </w:r>
      <w:r>
        <w:rPr>
          <w:rtl w:val="true"/>
        </w:rPr>
        <w:t>"</w:t>
      </w:r>
      <w:r>
        <w:rPr>
          <w:rtl w:val="true"/>
        </w:rPr>
        <w:t>מאד מיוחדים</w:t>
      </w:r>
      <w:r>
        <w:rPr>
          <w:rtl w:val="true"/>
        </w:rPr>
        <w:t xml:space="preserve">". </w:t>
      </w:r>
      <w:r>
        <w:rPr>
          <w:rtl w:val="true"/>
        </w:rPr>
        <w:t>כך 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 xml:space="preserve">), </w:t>
      </w:r>
      <w:r>
        <w:rPr>
          <w:rtl w:val="true"/>
        </w:rPr>
        <w:t>שם נקבע על בסיס נסיבותיו האישיות הייחודיות של המערער וקשיים הראייתיים שהובילו לתיקון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במקרה </w:t>
      </w:r>
      <w:r>
        <w:rPr>
          <w:rtl w:val="true"/>
        </w:rPr>
        <w:t>"</w:t>
      </w:r>
      <w:r>
        <w:rPr>
          <w:b/>
          <w:b/>
          <w:bCs/>
          <w:rtl w:val="true"/>
        </w:rPr>
        <w:t>מאוד מיוחד</w:t>
      </w:r>
      <w:r>
        <w:rPr>
          <w:rtl w:val="true"/>
        </w:rPr>
        <w:t xml:space="preserve">" </w:t>
      </w:r>
      <w:r>
        <w:rPr>
          <w:rtl w:val="true"/>
        </w:rPr>
        <w:t>המצדיק הקלה בעונש</w:t>
      </w:r>
      <w:r>
        <w:rPr>
          <w:rtl w:val="true"/>
        </w:rPr>
        <w:t xml:space="preserve">, </w:t>
      </w:r>
      <w:r>
        <w:rPr>
          <w:rtl w:val="true"/>
        </w:rPr>
        <w:t>בית המשפט העליון קיבל את ערעור הנאשם והעמיד את עונשו על תשעה חודשי עבודות שירות ו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30.12.2020</w:t>
      </w:r>
      <w:r>
        <w:rPr>
          <w:rtl w:val="true"/>
        </w:rPr>
        <w:t xml:space="preserve">) </w:t>
      </w:r>
      <w:r>
        <w:rPr>
          <w:rtl w:val="true"/>
        </w:rPr>
        <w:t xml:space="preserve">שם התקבל ערעורו של נאשם בעבירה של נשיאת נשק והובלתו שנגזרו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מצא את נסיבותיו האישיות </w:t>
      </w:r>
      <w:r>
        <w:rPr>
          <w:rtl w:val="true"/>
        </w:rPr>
        <w:t>(</w:t>
      </w:r>
      <w:r>
        <w:rPr>
          <w:rtl w:val="true"/>
        </w:rPr>
        <w:t>עבר נקי</w:t>
      </w:r>
      <w:r>
        <w:rPr>
          <w:rtl w:val="true"/>
        </w:rPr>
        <w:t xml:space="preserve">, </w:t>
      </w:r>
      <w:r>
        <w:rPr>
          <w:rtl w:val="true"/>
        </w:rPr>
        <w:t>פוסט טראומה עקב פציעה במהלך שירותו הצבאי והמלצת שירות המבחן</w:t>
      </w:r>
      <w:r>
        <w:rPr>
          <w:rtl w:val="true"/>
        </w:rPr>
        <w:t xml:space="preserve">) </w:t>
      </w:r>
      <w:r>
        <w:rPr>
          <w:rtl w:val="true"/>
        </w:rPr>
        <w:t xml:space="preserve">ככזה המלמד על מקרה </w:t>
      </w:r>
      <w:r>
        <w:rPr>
          <w:b/>
          <w:b/>
          <w:bCs/>
          <w:rtl w:val="true"/>
        </w:rPr>
        <w:t>חריג שבחריגים</w:t>
      </w:r>
      <w:r>
        <w:rPr>
          <w:rtl w:val="true"/>
        </w:rPr>
        <w:t xml:space="preserve"> המצדיק לאמץ את המלצת שירות המבחן ועונשו הופחת לתשעה חודשי עבודות שירות </w:t>
      </w:r>
      <w:r>
        <w:rPr>
          <w:rtl w:val="true"/>
        </w:rPr>
        <w:t>(</w:t>
      </w:r>
      <w:r>
        <w:rPr>
          <w:rtl w:val="true"/>
        </w:rPr>
        <w:t xml:space="preserve">עוד ראו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מרעאנה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1.9.2019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52256-03-20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יאן אזברגה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12.4.2022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עוד אדגיש את צורך השעה להחמיר בענישה בגין 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והמשקל הנכבד שיש ליתן לשיקולי הרתעה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פני נסיבותיו האישיות של הנידון</w:t>
      </w:r>
      <w:r>
        <w:rPr>
          <w:rFonts w:eastAsia="Calibri" w:cs="Calibri" w:ascii="Calibri" w:hAnsi="Calibri"/>
          <w:rtl w:val="true"/>
        </w:rPr>
        <w:t>" (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עדאב 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22.5.2022</w:t>
      </w:r>
      <w:r>
        <w:rPr>
          <w:rFonts w:eastAsia="Calibri" w:cs="Calibri" w:ascii="Calibri" w:hAnsi="Calibri"/>
          <w:rtl w:val="true"/>
        </w:rPr>
        <w:t xml:space="preserve">)).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ישמשו נתוניו הטובים ופגיעת המאסר בו ובמשפחתו בסיס למיקומו בתחתית המתחם לצד ענישה נלווית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בניכוי ימי מעצרו </w:t>
      </w:r>
      <w:r>
        <w:rPr/>
        <w:t>2.2.23</w:t>
      </w:r>
      <w:r>
        <w:rPr>
          <w:rtl w:val="true"/>
        </w:rPr>
        <w:t xml:space="preserve"> – </w:t>
      </w:r>
      <w:r>
        <w:rPr/>
        <w:t>23.3.23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4.3.24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1.4.24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תעמודנה הערבויות שהופקדו בהליך המעצר</w:t>
      </w:r>
      <w:r>
        <w:rPr>
          <w:rtl w:val="true"/>
        </w:rPr>
        <w:t xml:space="preserve">. </w:t>
      </w:r>
      <w:r>
        <w:rPr>
          <w:rtl w:val="true"/>
        </w:rPr>
        <w:t>לאחר תחילת ריצוי המאסר</w:t>
      </w:r>
      <w:r>
        <w:rPr>
          <w:rtl w:val="true"/>
        </w:rPr>
        <w:t xml:space="preserve">, </w:t>
      </w:r>
      <w:r>
        <w:rPr>
          <w:rtl w:val="true"/>
        </w:rPr>
        <w:t>יושבו למפקיד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הנשק והתחמושת </w:t>
      </w:r>
      <w:r>
        <w:rPr>
          <w:rtl w:val="true"/>
        </w:rPr>
        <w:t>-</w:t>
      </w:r>
      <w:r>
        <w:rPr>
          <w:rtl w:val="true"/>
        </w:rPr>
        <w:t>יושמדו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25009-02-23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סלאח אלדרארגה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5568354" TargetMode="External"/><Relationship Id="rId11" Type="http://schemas.openxmlformats.org/officeDocument/2006/relationships/hyperlink" Target="http://www.nevo.co.il/case/28883087" TargetMode="External"/><Relationship Id="rId12" Type="http://schemas.openxmlformats.org/officeDocument/2006/relationships/hyperlink" Target="http://www.nevo.co.il/case/30024241" TargetMode="External"/><Relationship Id="rId13" Type="http://schemas.openxmlformats.org/officeDocument/2006/relationships/hyperlink" Target="http://www.nevo.co.il/case/28229995" TargetMode="External"/><Relationship Id="rId14" Type="http://schemas.openxmlformats.org/officeDocument/2006/relationships/hyperlink" Target="http://www.nevo.co.il/case/28601157" TargetMode="External"/><Relationship Id="rId15" Type="http://schemas.openxmlformats.org/officeDocument/2006/relationships/hyperlink" Target="http://www.nevo.co.il/case/30096880" TargetMode="External"/><Relationship Id="rId16" Type="http://schemas.openxmlformats.org/officeDocument/2006/relationships/hyperlink" Target="http://www.nevo.co.il/case/27481263" TargetMode="External"/><Relationship Id="rId17" Type="http://schemas.openxmlformats.org/officeDocument/2006/relationships/hyperlink" Target="http://www.nevo.co.il/case/28384637" TargetMode="External"/><Relationship Id="rId18" Type="http://schemas.openxmlformats.org/officeDocument/2006/relationships/hyperlink" Target="http://www.nevo.co.il/case/28963593" TargetMode="External"/><Relationship Id="rId19" Type="http://schemas.openxmlformats.org/officeDocument/2006/relationships/hyperlink" Target="http://www.nevo.co.il/case/26934681" TargetMode="External"/><Relationship Id="rId20" Type="http://schemas.openxmlformats.org/officeDocument/2006/relationships/hyperlink" Target="http://www.nevo.co.il/case/25637368" TargetMode="External"/><Relationship Id="rId21" Type="http://schemas.openxmlformats.org/officeDocument/2006/relationships/hyperlink" Target="http://www.nevo.co.il/case/26568237" TargetMode="External"/><Relationship Id="rId22" Type="http://schemas.openxmlformats.org/officeDocument/2006/relationships/hyperlink" Target="http://www.nevo.co.il/case/28268880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2024-02-22T14:19:00Z</dcterms:created>
  <dc:creator> </dc:creator>
  <dc:description/>
  <cp:keywords/>
  <dc:language>en-IL</dc:language>
  <cp:lastModifiedBy>h1</cp:lastModifiedBy>
  <dcterms:modified xsi:type="dcterms:W3CDTF">2024-02-22T14:19:00Z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סלאח אלדרארגה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27894608;27911638;28152132;28452933;5568354;28883087;30024241;28229995;28601157;30096880;27481263;28384637;28963593;26934681;25637368;26568237;28268880</vt:lpwstr>
  </property>
  <property fmtid="{D5CDD505-2E9C-101B-9397-08002B2CF9AE}" pid="10" name="CITY">
    <vt:lpwstr>מרכז</vt:lpwstr>
  </property>
  <property fmtid="{D5CDD505-2E9C-101B-9397-08002B2CF9AE}" pid="11" name="DATE">
    <vt:lpwstr>20240219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מרב גרינברג</vt:lpwstr>
  </property>
  <property fmtid="{D5CDD505-2E9C-101B-9397-08002B2CF9AE}" pid="15" name="LAWLISTTMP1">
    <vt:lpwstr>70301/144.b</vt:lpwstr>
  </property>
  <property fmtid="{D5CDD505-2E9C-101B-9397-08002B2CF9AE}" pid="16" name="LAWYER">
    <vt:lpwstr>יעל תרם;ציון אמיר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25009</vt:lpwstr>
  </property>
  <property fmtid="{D5CDD505-2E9C-101B-9397-08002B2CF9AE}" pid="23" name="NEWPARTB">
    <vt:lpwstr>02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390020240219</vt:lpwstr>
  </property>
  <property fmtid="{D5CDD505-2E9C-101B-9397-08002B2CF9AE}" pid="35" name="TYPE_N_DATE">
    <vt:lpwstr>39020240219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