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בקריות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25053-07-24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טמזיאן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bidiVisual w:val="true"/>
        <w:tblW w:w="931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7"/>
        <w:gridCol w:w="5095"/>
        <w:gridCol w:w="3263"/>
      </w:tblGrid>
      <w:tr>
        <w:trPr>
          <w:trHeight w:val="345" w:hRule="atLeast"/>
        </w:trPr>
        <w:tc>
          <w:tcPr>
            <w:tcW w:w="95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35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השופט יוסי טורס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הנשיאה</w:t>
            </w:r>
          </w:p>
        </w:tc>
      </w:tr>
      <w:tr>
        <w:trPr>
          <w:trHeight w:val="34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</w:tc>
        <w:tc>
          <w:tcPr>
            <w:tcW w:w="8358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509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26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8358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                                             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</w:tc>
      </w:tr>
      <w:tr>
        <w:trPr>
          <w:trHeight w:val="415" w:hRule="atLeast"/>
        </w:trPr>
        <w:tc>
          <w:tcPr>
            <w:tcW w:w="95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509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קארן טמזיאן </w:t>
            </w:r>
          </w:p>
        </w:tc>
        <w:tc>
          <w:tcPr>
            <w:tcW w:w="326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</w:t>
            </w:r>
            <w:r>
              <w:rPr>
                <w:rFonts w:ascii="David" w:hAnsi="David"/>
                <w:b/>
                <w:b/>
                <w:bCs/>
                <w:rtl w:val="true"/>
              </w:rPr>
              <w:t>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)+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1973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David" w:hAnsi="David" w:cs="David"/>
          <w:color w:val="0000FF"/>
          <w:sz w:val="26"/>
          <w:szCs w:val="26"/>
        </w:rPr>
      </w:pPr>
      <w:r>
        <w:rPr>
          <w:rFonts w:cs="David" w:ascii="David" w:hAnsi="David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bookmarkStart w:id="8" w:name="ABSTRACT_START"/>
      <w:bookmarkEnd w:id="8"/>
      <w:r>
        <w:rPr>
          <w:rFonts w:ascii="David" w:hAnsi="David"/>
          <w:rtl w:val="true"/>
        </w:rPr>
        <w:t>הנאשם הורשע במסגרת הסדר טיעון שלא כלל הסכמה 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תקיפה סתם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בן זוג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סעיף </w:t>
      </w:r>
      <w:hyperlink r:id="rId12">
        <w:r>
          <w:rPr>
            <w:rStyle w:val="Hyperlink"/>
            <w:rFonts w:cs="David" w:ascii="David" w:hAnsi="David"/>
            <w:color w:val="0000FF"/>
          </w:rPr>
          <w:t>382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)+</w:t>
        </w:r>
      </w:hyperlink>
      <w:hyperlink r:id="rId13">
        <w:r>
          <w:rPr>
            <w:rStyle w:val="Hyperlink"/>
            <w:rFonts w:cs="David" w:ascii="David" w:hAnsi="David"/>
            <w:color w:val="0000FF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5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חלק מהותי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אמצע לחוק העונשין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והחזקת סמים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סעיף </w:t>
      </w:r>
      <w:hyperlink r:id="rId17">
        <w:r>
          <w:rPr>
            <w:rStyle w:val="Hyperlink"/>
            <w:rFonts w:cs="David" w:ascii="David" w:hAnsi="David"/>
            <w:color w:val="0000FF"/>
          </w:rPr>
          <w:t>7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)+</w:t>
        </w:r>
        <w:r>
          <w:rPr>
            <w:rStyle w:val="Hyperlink"/>
            <w:rFonts w:cs="David" w:ascii="David" w:hAnsi="David"/>
            <w:color w:val="0000FF"/>
          </w:rPr>
          <w:t>7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Miriam" w:hAnsi="Miriam" w:cs="Miriam"/>
          <w:rtl w:val="true"/>
        </w:rPr>
        <w:t>פקודת הסמים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כתב האישום המתוקן כולל חלק כללי בו תואר כי במועד הרלוונטי היו הנאשם והמתלוננת בני זוג והתגוררו יחד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כי במהלך תקופה בת כשבעה 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בחודש </w:t>
      </w:r>
      <w:r>
        <w:rPr>
          <w:rFonts w:cs="David" w:ascii="David" w:hAnsi="David"/>
        </w:rPr>
        <w:t>6/24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חשד הנאשם כי המתלוננת אינה נאמנה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ליטול את הטלפון הנייד שלה ולבדוק בו וכן מנע ממנה לצאת מהדירה בלעדיו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בכתב האישום פורטו שלושה אירועים כמפורט להלן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27.6.24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אמרה המתלוננת לנאשם כי ברצונה להיפרד וזאת לאור התנהגותו שתוארה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תקף אותה הנאשם באופן שתפס בצווארה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ניער את גופה ומשך בשיערה ובאוזנה מספר פעמים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הניף לעברה כיסא מספר פעמים באופן מאיים ואמר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אני אזרוק את זה עלייך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ביום זה 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שולחן במחסן בדירה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תופי מסוג </w:t>
      </w:r>
      <w:r>
        <w:rPr>
          <w:rFonts w:cs="David" w:ascii="David" w:hAnsi="David"/>
        </w:rPr>
        <w:t>S&amp;W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קליבר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כאשר הוא ללא נוקר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סם מסוג הרואין במשקל </w:t>
      </w:r>
      <w:r>
        <w:rPr>
          <w:rFonts w:cs="David" w:ascii="David" w:hAnsi="David"/>
        </w:rPr>
        <w:t>0.0311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וכן סם מסוג קוקאין במשקל </w:t>
      </w:r>
      <w:r>
        <w:rPr>
          <w:rFonts w:cs="David" w:ascii="David" w:hAnsi="David"/>
        </w:rPr>
        <w:t>0.1372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23.6.24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 נסיעה ברכבה של המתלוננת ובעודה 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ישב הנאשם לצדה והטיח בה שהיא אינה נאמנה לו ודרש לדעת את שמו של האדם אתו היא בוגדת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המתלוננת שללה טענה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 הכה אותה הנאשם במכת אגרוף בפניה וכן הכה אותה בחזהּ באמצעות טלפון שאחז בידו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(-)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20.6.24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בזמן שהמתלוננת הייתה על המיטה 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הנאשם את שערה תוך שהוא מגדף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בלחייה ולאחר שהזיזה את ידו תפס אותה באוזניה וניער אותה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טיעוני הצדדים לעונש והראיות </w:t>
      </w:r>
    </w:p>
    <w:p>
      <w:pPr>
        <w:pStyle w:val="ListParagraph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המתלוננת העידה בפני בשתי הזדמנויות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בדבריה תארה את מערכת היחסים עם הנאשם ואת האירועים מנקודת מבטה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ציינה כי הוא אדם טוב ואינו אלים וכי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לא היה שום דבר בנינו חוץ מצרחות פה ושם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אבל אלימות מצדו שלו לא היה אף פעם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הוסיפה כי היא מתגעגעת אליו ומחכה לשחרורו וציינה שהוא מביע מוטיבציה לעבוד ולשקם את היחסים הזוגיים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לחומרת העבירות והדגיש כי לצד עבירות האלימות החזיק הנאשם בסמים מסוכנים ובחלקי נשק כך שנפגעו ערכים מוגנים נוספים ובעוצמה לא מבוטלת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ביקשה לראות בכל העבירות כאירוע אחד ולקבוע מתחם עונש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שהציעה דווקא מתחמים נפרדים לעבירות האלימות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12-24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ולעבירת הנשק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8-16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ברמה האופרטיבית עתרה המאשימה לעונש כולל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מאסר בפועל שלא יפחת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טען כי מתחם הענישה במקרה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לכל העבירות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נע בין מספר חודשי מאסר ועד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הדגיש כי מדובר באדם שעלה ארצה ללא השכלה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לפרנסתו והאירוע אינו מאפיין את אורחות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עוד שפני הזוג להמשך מערכת היחסים ויש להביא בחשבון 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תקופת מעצרו וכן את עמדת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זאת עתר הסנגור למקם את עונשו של הנאשם ברף הבינוני של המתחם לו עתר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התנצל בפני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כי המעצר קשה עבורו וכי הוא הפנים את הטעות שעשה וברצונו לשוב לחיק משפחתו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קביעת מתחם הענישה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עתרה לקביעת מתחם ענישה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שציינה שני מתחמים שונים ובעניין זה טיעונה היה לא עקבי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ההגנה עתרה אף היא למתחם ענישה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אומר כבר עתה כי לדידי יש לקבוע שני מתחמי ענישה נפרדים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האחד לעבירות האלימות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כולן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והשני לעבירות סמים והנשק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לראות כל קשר בין עבירות האלימות לבין עבירות הסמים והנשק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זולת העובדה שעבירות אלו התגלו לאחר שהשוטרים הגיעו לבית הנאשם עקב עבירת האלימות האחרונה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ביחס לעבירות האלימות אזי הגם שמדובר במספר מעשים ובמועדים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מהותם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המניע 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סמיכות הזמנים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שהופנו כלפי אותה 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לראותם בנסיבות מקרה זה כאירוע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שיינתן משקל לריבוי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יקבעו שני מתחמי ענישה נפרדים אולם יוטל עונש אחד כולל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כעתירת הצדדים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הערכים המוגנים שנפגעו בשל מעשי הנאשם ברורים ומדובר בפגיעה בשלום גופה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כבודה ובטחונה של המתלוננת כמו גם</w:t>
      </w:r>
      <w:r>
        <w:rPr>
          <w:rFonts w:ascii="David" w:hAnsi="David"/>
          <w:rtl w:val="true"/>
        </w:rPr>
        <w:t xml:space="preserve"> בפרטיותה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אפנה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3719/21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07.06.2021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שם צוין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זה לא מכבר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עמדתי על הפסול שבתופעת האלימות בתוך התא המשפחתי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ההרס שיכול להיגרם בעקבותיה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ובפרט הפגיעה בתחושת הביטחון של יושבי הבית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כבודם ושלמות גופם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לכך יש להוסיף כי הנאשם החזיק בחלק מהותי של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ולשאלת מהותו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החלק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אתייחס בהמשך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וכן סמים לשימוש עצמי ובכך נפגעו ערכים מוגנים נוספים שעניינם שלום הציבור ובטחונו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לנסיבות הקשורות לביצוע עבירות האלימות אציין כי הרקע לאירוע הוא חשדו של הנאשם כי המתלוננת אינה נאמנה לו ויש לראות בכך נסיבה לחומרה המלמדת על מסוכנות ממשית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התנהגותו הייתה חמורה וכללה מאפייני קנאה ורכושנות מובהקים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הטחת האשמות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בדיקת מכשיר הטלפון של המתלוננת ואף מניעת יציאתה מהבית בלעדיו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ברמה גבוהה של קנאה ורכושנות ומכאן החומרה שבמעשים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 הנאשם לא הסתכמו רק בכך וכאשר ביקשה המתלוננת להיפרד ממנו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בה באלימות ממשית וזאת במספר הזדמנויות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האירועים כללו תפיסה בצוואר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משיכה בשיער ובאוזניים 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אגרוף בפנים ומכה בחזה עם מכשיר הטלפון בזמן שהמתלוננת נהגה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באירועים חמורים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המבטאים בריונות וזלזול עמוק במתלוננת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בזכויותיה כאדם חופשי ובכבודה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ביחס לעבירת הסמים אציין כי מדובר בכמויות נמוכות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המשתמע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מדובר בסמים קשים מסוג הרואין וקוקאין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נקודה נוספת הראויה להתייחסות היא עבירת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החזיק במחסן ביתו אקדח תופי ללא נוקר ובשל כך ייחסה לו המאשימה עבירה של החזקת חלק מהותי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ראיתי להבהיר דברים אלו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המונחים נשק וחלק מהותי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מוגדרים </w:t>
      </w:r>
      <w:hyperlink r:id="rId20">
        <w:r>
          <w:rPr>
            <w:rStyle w:val="Hyperlink"/>
            <w:rFonts w:ascii="David" w:hAnsi="David"/>
            <w:color w:val="0000FF"/>
            <w:rtl w:val="true"/>
          </w:rPr>
          <w:t>בסעיף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כך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P001"/>
        <w:spacing w:before="72" w:after="0"/>
        <w:ind w:start="720" w:end="1134"/>
        <w:jc w:val="both"/>
        <w:rPr>
          <w:rStyle w:val="default"/>
          <w:rFonts w:ascii="Miriam" w:hAnsi="Miriam" w:cs="Miriam"/>
          <w:sz w:val="24"/>
          <w:szCs w:val="24"/>
        </w:rPr>
      </w:pPr>
      <w:r>
        <w:rPr>
          <w:rStyle w:val="default"/>
          <w:rFonts w:cs="Miriam" w:ascii="Miriam" w:hAnsi="Miriam"/>
          <w:sz w:val="24"/>
          <w:szCs w:val="24"/>
        </w:rPr>
        <w:t>144</w:t>
      </w:r>
      <w:r>
        <w:rPr>
          <w:rStyle w:val="default"/>
          <w:rFonts w:cs="Miriam" w:ascii="Miriam" w:hAnsi="Miriam"/>
          <w:sz w:val="24"/>
          <w:szCs w:val="24"/>
          <w:rtl w:val="true"/>
        </w:rPr>
        <w:t>(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Style w:val="default"/>
          <w:rFonts w:cs="Miriam" w:ascii="Miriam" w:hAnsi="Miriam"/>
          <w:sz w:val="24"/>
          <w:szCs w:val="24"/>
          <w:rtl w:val="true"/>
        </w:rPr>
        <w:t>)</w:t>
        <w:tab/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בסעיף זה</w:t>
      </w:r>
      <w:r>
        <w:rPr>
          <w:rStyle w:val="default"/>
          <w:rFonts w:cs="Miriam" w:ascii="Miriam" w:hAnsi="Miriam"/>
          <w:sz w:val="24"/>
          <w:szCs w:val="24"/>
          <w:rtl w:val="true"/>
        </w:rPr>
        <w:t>, "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נשק</w:t>
      </w:r>
      <w:r>
        <w:rPr>
          <w:rStyle w:val="default"/>
          <w:rFonts w:cs="Miriam" w:ascii="Miriam" w:hAnsi="Miriam"/>
          <w:sz w:val="24"/>
          <w:szCs w:val="24"/>
          <w:rtl w:val="true"/>
        </w:rPr>
        <w:t>" –</w:t>
      </w:r>
    </w:p>
    <w:p>
      <w:pPr>
        <w:pStyle w:val="P22"/>
        <w:spacing w:before="72" w:after="0"/>
        <w:ind w:start="1741" w:end="1134"/>
        <w:jc w:val="both"/>
        <w:rPr/>
      </w:pPr>
      <w:r>
        <w:rPr>
          <w:rStyle w:val="default"/>
          <w:rFonts w:cs="Miriam" w:ascii="Miriam" w:hAnsi="Miriam"/>
          <w:sz w:val="24"/>
          <w:szCs w:val="24"/>
          <w:rtl w:val="true"/>
        </w:rPr>
        <w:t>(</w:t>
      </w:r>
      <w:r>
        <w:rPr>
          <w:rStyle w:val="default"/>
          <w:rFonts w:cs="Miriam" w:ascii="Miriam" w:hAnsi="Miriam"/>
          <w:sz w:val="24"/>
          <w:szCs w:val="24"/>
        </w:rPr>
        <w:t>1</w:t>
      </w:r>
      <w:r>
        <w:rPr>
          <w:rStyle w:val="default"/>
          <w:rFonts w:cs="Miriam" w:ascii="Miriam" w:hAnsi="Miriam"/>
          <w:sz w:val="24"/>
          <w:szCs w:val="24"/>
          <w:rtl w:val="true"/>
        </w:rPr>
        <w:t>)</w:t>
        <w:tab/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כלי שסוגל לירות כדור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קלע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פגז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פצצה או כיוצא באלה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שבכוחם להמית אדם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וכולל חלק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אבזר ותחמושת של כלי כזה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; </w:t>
      </w:r>
    </w:p>
    <w:p>
      <w:pPr>
        <w:pStyle w:val="P22"/>
        <w:spacing w:before="72" w:after="0"/>
        <w:ind w:start="1741" w:end="1134"/>
        <w:jc w:val="both"/>
        <w:rPr>
          <w:rStyle w:val="default"/>
          <w:rFonts w:ascii="Miriam" w:hAnsi="Miriam" w:cs="Miriam"/>
          <w:sz w:val="24"/>
          <w:szCs w:val="24"/>
        </w:rPr>
      </w:pPr>
      <w:r>
        <w:rPr>
          <w:rStyle w:val="default"/>
          <w:rFonts w:cs="Miriam" w:ascii="Miriam" w:hAnsi="Miriam"/>
          <w:sz w:val="24"/>
          <w:szCs w:val="24"/>
          <w:rtl w:val="true"/>
        </w:rPr>
        <w:t>...</w:t>
      </w:r>
    </w:p>
    <w:p>
      <w:pPr>
        <w:pStyle w:val="P001"/>
        <w:spacing w:before="72" w:after="0"/>
        <w:ind w:start="720" w:end="1134"/>
        <w:jc w:val="both"/>
        <w:rPr>
          <w:rStyle w:val="default"/>
          <w:rFonts w:cs="FrankRuehl"/>
        </w:rPr>
      </w:pPr>
      <w:r>
        <w:rPr>
          <w:rStyle w:val="default"/>
          <w:rFonts w:cs="Miriam" w:ascii="Miriam" w:hAnsi="Miriam"/>
          <w:sz w:val="24"/>
          <w:szCs w:val="24"/>
          <w:rtl w:val="true"/>
        </w:rPr>
        <w:tab/>
        <w:t>"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חלק מהותי בנשק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" –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 xml:space="preserve">חלק או אבזר כאמור בפסקאות </w:t>
      </w:r>
      <w:r>
        <w:rPr>
          <w:rStyle w:val="default"/>
          <w:rFonts w:cs="Miriam" w:ascii="Miriam" w:hAnsi="Miriam"/>
          <w:sz w:val="24"/>
          <w:szCs w:val="24"/>
          <w:rtl w:val="true"/>
        </w:rPr>
        <w:t>(</w:t>
      </w:r>
      <w:r>
        <w:rPr>
          <w:rStyle w:val="default"/>
          <w:rFonts w:cs="Miriam" w:ascii="Miriam" w:hAnsi="Miriam"/>
          <w:sz w:val="24"/>
          <w:szCs w:val="24"/>
        </w:rPr>
        <w:t>1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)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 xml:space="preserve">או </w:t>
      </w:r>
      <w:r>
        <w:rPr>
          <w:rStyle w:val="default"/>
          <w:rFonts w:cs="Miriam" w:ascii="Miriam" w:hAnsi="Miriam"/>
          <w:sz w:val="24"/>
          <w:szCs w:val="24"/>
          <w:rtl w:val="true"/>
        </w:rPr>
        <w:t>(</w:t>
      </w:r>
      <w:r>
        <w:rPr>
          <w:rStyle w:val="default"/>
          <w:rFonts w:cs="Miriam" w:ascii="Miriam" w:hAnsi="Miriam"/>
          <w:sz w:val="24"/>
          <w:szCs w:val="24"/>
        </w:rPr>
        <w:t>2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)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 xml:space="preserve">להגדרה </w:t>
      </w:r>
      <w:r>
        <w:rPr>
          <w:rStyle w:val="default"/>
          <w:rFonts w:cs="Miriam" w:ascii="Miriam" w:hAnsi="Miriam"/>
          <w:sz w:val="24"/>
          <w:szCs w:val="24"/>
          <w:rtl w:val="true"/>
        </w:rPr>
        <w:t>"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נשק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"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שהוא גוף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קנה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צינה</w:t>
      </w:r>
      <w:r>
        <w:rPr>
          <w:rStyle w:val="default"/>
          <w:rFonts w:cs="Miriam" w:ascii="Miriam" w:hAnsi="Miriam"/>
          <w:sz w:val="24"/>
          <w:szCs w:val="24"/>
          <w:rtl w:val="true"/>
        </w:rPr>
        <w:t xml:space="preserve">, </w:t>
      </w:r>
      <w:r>
        <w:rPr>
          <w:rStyle w:val="default"/>
          <w:rFonts w:ascii="Miriam" w:hAnsi="Miriam" w:cs="Miriam"/>
          <w:sz w:val="24"/>
          <w:sz w:val="24"/>
          <w:szCs w:val="24"/>
          <w:rtl w:val="true"/>
        </w:rPr>
        <w:t>מכלול או סדן של כלי נשק</w:t>
      </w:r>
      <w:r>
        <w:rPr>
          <w:rStyle w:val="default"/>
          <w:rFonts w:cs="Miriam" w:ascii="Miriam" w:hAnsi="Miriam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Style w:val="default"/>
          <w:rFonts w:ascii="David" w:hAnsi="David" w:cs="David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החזיק הנאשם אקדח מושלם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ללא נוקר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 קשה לראות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מבחינה לשונית ואף מהותית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חלק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יתרה מזו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מצב זה גם אינו עונה להגדרת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חלק מהותי בנשק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שהרי אין מדובר בהחזקה של </w:t>
      </w:r>
      <w:r>
        <w:rPr>
          <w:rFonts w:cs="Miriam" w:ascii="Miriam" w:hAnsi="Miriam"/>
          <w:rtl w:val="true"/>
        </w:rPr>
        <w:t>"</w:t>
      </w:r>
      <w:r>
        <w:rPr>
          <w:rStyle w:val="default"/>
          <w:rFonts w:ascii="Miriam" w:hAnsi="Miriam" w:cs="Miriam"/>
          <w:rtl w:val="true"/>
        </w:rPr>
        <w:t>גוף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קנה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צינה</w:t>
      </w:r>
      <w:r>
        <w:rPr>
          <w:rStyle w:val="default"/>
          <w:rFonts w:cs="Miriam" w:ascii="Miriam" w:hAnsi="Miriam"/>
          <w:rtl w:val="true"/>
        </w:rPr>
        <w:t xml:space="preserve">, </w:t>
      </w:r>
      <w:r>
        <w:rPr>
          <w:rStyle w:val="default"/>
          <w:rFonts w:ascii="Miriam" w:hAnsi="Miriam" w:cs="Miriam"/>
          <w:rtl w:val="true"/>
        </w:rPr>
        <w:t>מכלול או סדן של כלי נשק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u w:val="single"/>
          <w:rtl w:val="true"/>
        </w:rPr>
        <w:t>בכל</w:t>
      </w:r>
      <w:r>
        <w:rPr>
          <w:rFonts w:ascii="David" w:hAnsi="David"/>
          <w:rtl w:val="true"/>
        </w:rPr>
        <w:t xml:space="preserve"> החלקים האלו יחדיו שהרי מדובר באקדח שלם המורכב מחלקים אלו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ותשומת הלב שנוקר אינו חלק מהותי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היה לירות בנשק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בשל היעדר הנוקר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ואולם אין בכך לשנות מהגדרת האקדח כנשק שהרי האקדח לא יוצר ללא נוקר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הוא הוצא ממנו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ויכול לשוב אליו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ונשק מוגדר </w:t>
      </w:r>
      <w:hyperlink r:id="rId21">
        <w:r>
          <w:rPr>
            <w:rStyle w:val="Hyperlink"/>
            <w:rFonts w:ascii="David" w:hAnsi="David"/>
            <w:color w:val="0000FF"/>
            <w:rtl w:val="true"/>
          </w:rPr>
          <w:t>בסעיף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ככלי </w:t>
      </w:r>
      <w:r>
        <w:rPr>
          <w:rFonts w:cs="Miriam" w:ascii="Miriam" w:hAnsi="Miriam"/>
          <w:rtl w:val="true"/>
        </w:rPr>
        <w:t>"</w:t>
      </w:r>
      <w:r>
        <w:rPr>
          <w:rStyle w:val="default"/>
          <w:rFonts w:ascii="Miriam" w:hAnsi="Miriam" w:cs="Miriam"/>
          <w:rtl w:val="true"/>
        </w:rPr>
        <w:t>שסוגל לירות כדור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ככלי שמסוגל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22">
        <w:r>
          <w:rPr>
            <w:rStyle w:val="Hyperlink"/>
            <w:rFonts w:ascii="David" w:hAnsi="David"/>
            <w:color w:val="0000FF"/>
            <w:rtl w:val="true"/>
          </w:rPr>
          <w:t>לסעיף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</w:rPr>
          <w:t>1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אחת היא אם בעת שנעברה העבירה היה הנשק תקין לשימוש או לא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דומה שניתן היה לייחס לנאשם עבירה של החזקת נשק ואפנה בעניין זה 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41707-03-22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טראש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22.6.2022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עניין </w:t>
      </w:r>
      <w:r>
        <w:rPr>
          <w:rFonts w:ascii="David" w:hAnsi="David"/>
          <w:b/>
          <w:b/>
          <w:bCs/>
          <w:rtl w:val="true"/>
        </w:rPr>
        <w:t>אבו טראש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הורשע אדם בעבירה של החזקת נשק בשל כך שהחזיק </w:t>
      </w:r>
      <w:r>
        <w:rPr>
          <w:rFonts w:ascii="David" w:hAnsi="David"/>
          <w:color w:val="000000"/>
          <w:rtl w:val="true"/>
        </w:rPr>
        <w:t>אקדח ללא פין הדק ועצר מחלק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חסר משמעותי יותר מענייננו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rtl w:val="true"/>
        </w:rPr>
        <w:t xml:space="preserve">בית המשפט המחוזי ציין כי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העובדה שהאקדח שהמשיב החזיק לא היה תקין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איננה משנה מהגדרת האקדח כנשק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color w:val="000000"/>
          <w:rtl w:val="true"/>
        </w:rPr>
        <w:t xml:space="preserve">סעיף </w:t>
      </w:r>
      <w:r>
        <w:rPr>
          <w:rFonts w:cs="Miriam" w:ascii="Miriam" w:hAnsi="Miriam"/>
          <w:color w:val="000000"/>
        </w:rPr>
        <w:t>144</w:t>
      </w:r>
      <w:r>
        <w:rPr>
          <w:rFonts w:cs="Miriam" w:ascii="Miriam" w:hAnsi="Miriam"/>
          <w:color w:val="000000"/>
          <w:rtl w:val="true"/>
        </w:rPr>
        <w:t>(</w:t>
      </w:r>
      <w:r>
        <w:rPr>
          <w:rFonts w:ascii="Miriam" w:hAnsi="Miriam" w:cs="Miriam"/>
          <w:color w:val="000000"/>
          <w:rtl w:val="true"/>
        </w:rPr>
        <w:t>ג</w:t>
      </w:r>
      <w:r>
        <w:rPr>
          <w:rFonts w:cs="Miriam" w:ascii="Miriam" w:hAnsi="Miriam"/>
          <w:color w:val="000000"/>
        </w:rPr>
        <w:t>1</w:t>
      </w:r>
      <w:r>
        <w:rPr>
          <w:rFonts w:cs="Miriam" w:ascii="Miriam" w:hAnsi="Miriam"/>
          <w:color w:val="000000"/>
          <w:rtl w:val="true"/>
        </w:rPr>
        <w:t>)(</w:t>
      </w:r>
      <w:r>
        <w:rPr>
          <w:rFonts w:cs="Miriam" w:ascii="Miriam" w:hAnsi="Miriam"/>
          <w:color w:val="000000"/>
        </w:rPr>
        <w:t>1</w:t>
      </w:r>
      <w:r>
        <w:rPr>
          <w:rFonts w:cs="Miriam" w:ascii="Miriam" w:hAnsi="Miriam"/>
          <w:color w:val="000000"/>
          <w:rtl w:val="true"/>
        </w:rPr>
        <w:t>)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 xml:space="preserve">קובע מפורשות </w:t>
      </w:r>
      <w:r>
        <w:rPr>
          <w:rFonts w:cs="Miriam" w:ascii="Miriam" w:hAnsi="Miriam"/>
          <w:rtl w:val="true"/>
        </w:rPr>
        <w:t>'</w:t>
      </w:r>
      <w:r>
        <w:rPr>
          <w:rFonts w:ascii="Miriam" w:hAnsi="Miriam" w:cs="Miriam"/>
          <w:rtl w:val="true"/>
        </w:rPr>
        <w:t>אחת היא אם בעת שנעברה העבירה היה הנשק תקין לשימוש או לא</w:t>
      </w:r>
      <w:r>
        <w:rPr>
          <w:rFonts w:cs="Miriam" w:ascii="Miriam" w:hAnsi="Miriam"/>
          <w:rtl w:val="true"/>
        </w:rPr>
        <w:t xml:space="preserve">'. </w:t>
      </w:r>
      <w:r>
        <w:rPr>
          <w:rFonts w:ascii="Miriam" w:hAnsi="Miriam" w:cs="Miriam"/>
          <w:rtl w:val="true"/>
        </w:rPr>
        <w:t>אולם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הנתון של אי תקינות הנשק יכול להשפיע על הגדרת חומרת מעשה העבירה בנסיבותיו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 הערכת הנזק שיכל להיגרם מביצוע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ויכול להיות לו משקל מסוים בקביעת מתחם העונש ההולם</w:t>
      </w:r>
      <w:r>
        <w:rPr>
          <w:rFonts w:cs="Miriam" w:ascii="Miriam" w:hAnsi="Miriam"/>
          <w:color w:val="000000"/>
          <w:rtl w:val="true"/>
        </w:rPr>
        <w:t>"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ראו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14488-04-19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אבירן וקנין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23.2.2021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הורשע 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על פי הודאתו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בעבירה של החזקת נשק בשל כך שהחזיק אקדח ללא נוקר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להלן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עניין וקנין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העבירות בעניין </w:t>
      </w:r>
      <w:r>
        <w:rPr>
          <w:rFonts w:ascii="David" w:hAnsi="David"/>
          <w:b/>
          <w:b/>
          <w:bCs/>
          <w:rtl w:val="true"/>
        </w:rPr>
        <w:t>וקנין ואבו טראש</w:t>
      </w:r>
      <w:r>
        <w:rPr>
          <w:rFonts w:ascii="David" w:hAnsi="David"/>
          <w:rtl w:val="true"/>
        </w:rPr>
        <w:t xml:space="preserve"> נעברו טרם שנכללה בחוק הגדרת המונח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חלק מהותי בנשק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שנוספה בתיקון </w:t>
      </w:r>
      <w:r>
        <w:rPr>
          <w:rFonts w:cs="David" w:ascii="David" w:hAnsi="David"/>
        </w:rPr>
        <w:t>145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ואולם אין הדבר משנה את הגדרתו של כלי מסוים כנשק אם לאו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תיקון זה נועד להחמיר את העונש על החזקת חלקים מסוימים שהם מהותיים ומאפשרים יצור כלי נשק מאולתר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חלקים אלו היו נחשבים לפני התיקון חלקים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רגילים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נשק והעונש בגינם היה שלוש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שכיום העונש על החזקת חלק מהותי הוא חמש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אפוא בתיקון המחמיר עם החזקתם של חלקים מסוימים ולא כזה שהקל באופן בו רואה המחוקק את החזקתו של נשק בו חסר חלק מסוים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start="1134" w:end="1134"/>
        <w:jc w:val="both"/>
        <w:rPr/>
      </w:pP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 xml:space="preserve">מוצע לקבוע הבחנה בענישה בין חלקי נשק מהותיים </w:t>
      </w:r>
      <w:r>
        <w:rPr>
          <w:rFonts w:cs="Miriam" w:ascii="Miriam" w:hAnsi="Miriam"/>
          <w:rtl w:val="true"/>
        </w:rPr>
        <w:t>(</w:t>
      </w:r>
      <w:r>
        <w:rPr>
          <w:rFonts w:ascii="Miriam" w:hAnsi="Miriam" w:cs="Miriam"/>
          <w:rtl w:val="true"/>
        </w:rPr>
        <w:t xml:space="preserve">כמוצע </w:t>
      </w:r>
      <w:r>
        <w:rPr>
          <w:rFonts w:ascii="Miriam" w:hAnsi="Miriam" w:cs="Miriam"/>
          <w:rtl w:val="true"/>
        </w:rPr>
        <w:t xml:space="preserve">– </w:t>
      </w:r>
      <w:r>
        <w:rPr>
          <w:rFonts w:ascii="Miriam" w:hAnsi="Miriam" w:cs="Miriam"/>
          <w:rtl w:val="true"/>
        </w:rPr>
        <w:t>גוף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קנה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צינה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מכלול או סדן של כלי נשק</w:t>
      </w:r>
      <w:r>
        <w:rPr>
          <w:rFonts w:cs="Miriam" w:ascii="Miriam" w:hAnsi="Miriam"/>
          <w:rtl w:val="true"/>
        </w:rPr>
        <w:t>)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לחלקי נשק שאינם מהותיים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כך שהעונש על עבירת החזקה או הובלה של חלקי נשק מהותיים יהיה חמש שנות מאסר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ושל חלקי נשק לא מהותיים – שלוש שנות מאסר </w:t>
      </w:r>
      <w:r>
        <w:rPr>
          <w:rFonts w:cs="Miriam" w:ascii="Miriam" w:hAnsi="Miriam"/>
          <w:rtl w:val="true"/>
        </w:rPr>
        <w:t>...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תיקון זה נועד לבטא את החומרה היתרה שבביצוע עבירה בחלק של נשק שמאפשר ייצור של נשק מאולתר</w:t>
      </w:r>
      <w:r>
        <w:rPr>
          <w:rFonts w:cs="Miriam" w:ascii="Miriam" w:hAnsi="Miriam"/>
          <w:rtl w:val="true"/>
        </w:rPr>
        <w:t>,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לעומת חלקי נשק אחרים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לנוכח חלקם המשמעותי של כלי נשק מאולתרים בתעשיית הנשק הבלתי חוקי</w:t>
      </w:r>
      <w:r>
        <w:rPr>
          <w:rFonts w:cs="Miriam" w:ascii="Miriam" w:hAnsi="Miriam"/>
          <w:rtl w:val="true"/>
        </w:rPr>
        <w:t>"</w:t>
      </w:r>
      <w:r>
        <w:rPr>
          <w:rFonts w:cs="Miriam" w:ascii="Miriam" w:hAnsi="Miriam"/>
          <w:rtl w:val="true"/>
        </w:rPr>
        <w:t>.</w:t>
      </w:r>
      <w:r>
        <w:rPr>
          <w:rFonts w:cs="Miriam" w:ascii="Miriam" w:hAnsi="Miriam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הצעות חוק </w:t>
      </w:r>
      <w:r>
        <w:rPr>
          <w:rFonts w:cs="David" w:ascii="David" w:hAnsi="David"/>
          <w:b/>
          <w:bCs/>
        </w:rPr>
        <w:t>955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20.3.2023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היה לראות באקדח זה כנשק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משייחסה המאשימה עבירה קלה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מובן שכך יש להתייחס לדבר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שלא קיים עונש מזערי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בהיעדר כל עובדה אחרת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להניח לטובת הנאשם שלא ניתן היה לעשות שימוש מהיר וזמין באקדח ומסקנה זו מלמדת על כך שפוטנציאל הנזק לא היה מידי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הוא היה קיים כמובן מבחינה טכנית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למשל עניין </w:t>
      </w:r>
      <w:r>
        <w:rPr>
          <w:rFonts w:ascii="David" w:hAnsi="David"/>
          <w:b/>
          <w:b/>
          <w:bCs/>
          <w:rtl w:val="true"/>
        </w:rPr>
        <w:t>וקנין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כן ראו הדברים שנאמרו בעניין </w:t>
      </w:r>
      <w:r>
        <w:rPr>
          <w:rFonts w:ascii="David" w:hAnsi="David"/>
          <w:b/>
          <w:b/>
          <w:bCs/>
          <w:rtl w:val="true"/>
        </w:rPr>
        <w:t>אבו טראש</w:t>
      </w:r>
      <w:r>
        <w:rPr>
          <w:rFonts w:cs="David" w:ascii="David" w:hAnsi="David"/>
          <w:rtl w:val="true"/>
        </w:rPr>
        <w:t xml:space="preserve">: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הנתון של אי תקינות הנשק יכול להשפיע על הגדרת חומרת מעשה העבירה בנסיבותיו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ועל הערכת הנזק שיכל להיגרם מביצוע העבירה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ויכול להיות לו משקל מסוים בקביעת מתחם העונש ההולם</w:t>
      </w:r>
      <w:r>
        <w:rPr>
          <w:rFonts w:cs="Miriam" w:ascii="Miriam" w:hAnsi="Miriam"/>
          <w:rtl w:val="true"/>
        </w:rPr>
        <w:t xml:space="preserve">. </w:t>
      </w:r>
      <w:r>
        <w:rPr>
          <w:rFonts w:ascii="Miriam" w:hAnsi="Miriam" w:cs="Miriam"/>
          <w:rtl w:val="true"/>
        </w:rPr>
        <w:t>גם כאשר כלי הנשק שהוחזקו לא היה תקינים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הוטלו על הנאשמים עונשי מאסר משמעותיים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במקרה זה מדובר בחסר של חלק בודד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השאלה אם ניתן בקלות להשלימו ולהפוך את הכלי לכזה שיכול לירות אינה ידיעה שיפוטית ובהיעדר עובדות בנושא בכתב האישום יש להניח הנחה המקלה עם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מתחזקים לאור העבירה שבחרה המאשימה לייחס לנאשם ושבה הורשע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מדיניות הענישה</w:t>
      </w:r>
      <w:r>
        <w:rPr>
          <w:rFonts w:ascii="David" w:hAnsi="David"/>
          <w:rtl w:val="true"/>
        </w:rPr>
        <w:t xml:space="preserve"> בעבירות נשק מחמירה ו</w:t>
      </w:r>
      <w:r>
        <w:rPr>
          <w:rFonts w:ascii="David" w:hAnsi="David"/>
          <w:rtl w:val="true"/>
        </w:rPr>
        <w:t>בית המשפט העליון קבע בשנים האחרונות בשורה ארוכה של מקרים כי על בתי המשפט לתרום תרומתם בביעור עבירות הנשק וכי יש להחמיר בענישה במקרים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מיני רבים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ind w:start="1440" w:end="1418"/>
        <w:jc w:val="both"/>
        <w:rPr>
          <w:rFonts w:ascii="Miriam" w:hAnsi="Miriam" w:cs="Miriam"/>
          <w:color w:val="000000"/>
          <w:spacing w:val="10"/>
        </w:rPr>
      </w:pPr>
      <w:r>
        <w:rPr>
          <w:rFonts w:cs="Miriam" w:ascii="Miriam" w:hAnsi="Miriam"/>
          <w:color w:val="000000"/>
          <w:spacing w:val="10"/>
          <w:rtl w:val="true"/>
        </w:rPr>
      </w:r>
    </w:p>
    <w:p>
      <w:pPr>
        <w:pStyle w:val="ListParagraph"/>
        <w:ind w:start="1440" w:end="1418"/>
        <w:jc w:val="both"/>
        <w:rPr>
          <w:rFonts w:ascii="David" w:hAnsi="David" w:cs="David"/>
        </w:rPr>
      </w:pPr>
      <w:r>
        <w:rPr>
          <w:rFonts w:cs="Miriam" w:ascii="Miriam" w:hAnsi="Miriam"/>
          <w:color w:val="000000"/>
          <w:spacing w:val="10"/>
          <w:rtl w:val="true"/>
        </w:rPr>
        <w:t>"</w:t>
      </w:r>
      <w:r>
        <w:rPr>
          <w:rFonts w:ascii="Miriam" w:hAnsi="Miriam" w:cs="Miriam"/>
          <w:color w:val="000000"/>
          <w:spacing w:val="10"/>
          <w:rtl w:val="true"/>
        </w:rPr>
        <w:t xml:space="preserve">עלינו להעביר מסר חד וברור </w:t>
      </w:r>
      <w:r>
        <w:rPr>
          <w:rFonts w:cs="Miriam" w:ascii="Miriam" w:hAnsi="Miriam"/>
          <w:color w:val="000000"/>
          <w:spacing w:val="10"/>
          <w:rtl w:val="true"/>
        </w:rPr>
        <w:t xml:space="preserve">- </w:t>
      </w:r>
      <w:r>
        <w:rPr>
          <w:rFonts w:ascii="Miriam" w:hAnsi="Miriam" w:cs="Miriam"/>
          <w:color w:val="000000"/>
          <w:spacing w:val="10"/>
          <w:rtl w:val="true"/>
        </w:rPr>
        <w:t>כל מי שנושא ומחזיק נשק בלתי חוקי ואף אם מדובר בצורך להגנה אישית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עליו להיות מודע לכך שהוא עובר על החוק וצפוי לענישה קשה בדמות עונש מאסר משמעותי בפועל</w:t>
      </w:r>
      <w:r>
        <w:rPr>
          <w:rFonts w:cs="Miriam" w:ascii="Miriam" w:hAnsi="Miriam"/>
          <w:color w:val="000000"/>
          <w:spacing w:val="10"/>
          <w:rtl w:val="true"/>
        </w:rPr>
        <w:t xml:space="preserve">. </w:t>
      </w:r>
      <w:r>
        <w:rPr>
          <w:rFonts w:ascii="Miriam" w:hAnsi="Miriam" w:cs="Miriam"/>
          <w:color w:val="000000"/>
          <w:spacing w:val="10"/>
          <w:rtl w:val="true"/>
        </w:rPr>
        <w:t>במילים אחרות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הענישה המחמירה והבלתי מתפשרת צריכה לחול ללא קשר על כל עבירה בנשק לנוכח חשש מפגיעה ממשית בערכים החברתיים</w:t>
      </w:r>
      <w:r>
        <w:rPr>
          <w:rFonts w:cs="Miriam" w:ascii="Miriam" w:hAnsi="Miriam"/>
          <w:color w:val="000000"/>
          <w:spacing w:val="10"/>
          <w:rtl w:val="true"/>
        </w:rPr>
        <w:t xml:space="preserve">, </w:t>
      </w:r>
      <w:r>
        <w:rPr>
          <w:rFonts w:ascii="Miriam" w:hAnsi="Miriam" w:cs="Miriam"/>
          <w:color w:val="000000"/>
          <w:spacing w:val="10"/>
          <w:rtl w:val="true"/>
        </w:rPr>
        <w:t>ואיומים משמעותיים על שלום הציבור וביטחונו</w:t>
      </w:r>
      <w:r>
        <w:rPr>
          <w:rFonts w:cs="Miriam" w:ascii="Miriam" w:hAnsi="Miriam"/>
          <w:color w:val="000000"/>
          <w:spacing w:val="10"/>
          <w:rtl w:val="true"/>
        </w:rPr>
        <w:t>"</w:t>
      </w:r>
      <w:r>
        <w:rPr>
          <w:rFonts w:cs="Miriam" w:ascii="Miriam" w:hAnsi="Miriam"/>
          <w:color w:val="000000"/>
          <w:spacing w:val="10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נח 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הורשע בעבירה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בעבירה קלה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שעונשה המרבי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ולא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 אין בעניינה עונש מזערי כפי שקיים בעבירה של החזקת 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ואולם לאור כך שבמקרים דומים מיוחסת 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למקרים אלו בשינויים המחויבים כמובן</w:t>
      </w:r>
      <w:r>
        <w:rPr>
          <w:rFonts w:cs="David" w:ascii="David" w:hAnsi="David"/>
          <w:rtl w:val="true"/>
        </w:rPr>
        <w:t xml:space="preserve">: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3.5.2021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בו החזיק והוביל הנאשם </w:t>
      </w:r>
      <w:r>
        <w:rPr>
          <w:rFonts w:ascii="David" w:hAnsi="David"/>
          <w:rtl w:val="true"/>
        </w:rPr>
        <w:t xml:space="preserve">ברכב אקדח </w:t>
      </w:r>
      <w:r>
        <w:rPr>
          <w:rFonts w:ascii="David" w:hAnsi="David"/>
          <w:rtl w:val="true"/>
        </w:rPr>
        <w:t>לא תקין ש</w:t>
      </w:r>
      <w:r>
        <w:rPr>
          <w:rFonts w:ascii="David" w:hAnsi="David"/>
          <w:rtl w:val="true"/>
        </w:rPr>
        <w:t>לא ניתן היה לבצע בו ירי ובו מחסנית ריקה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גופו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אקדח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</w:t>
      </w:r>
      <w:r>
        <w:rPr>
          <w:rFonts w:ascii="David" w:hAnsi="David"/>
          <w:rtl w:val="true"/>
        </w:rPr>
        <w:t xml:space="preserve">קבע מתחם עונש הולם הנע בין </w:t>
      </w:r>
      <w:r>
        <w:rPr>
          <w:rFonts w:cs="David" w:ascii="David" w:hAnsi="David"/>
        </w:rPr>
        <w:t>10-24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4982-15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שחיטה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3.9.2015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בנשיאת אקדח לא תקין יחד עם מחסנית ריקה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הנע בין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והוטלו על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הפחית את העונש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תוך שציין כי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גם אם המחוקק אינו מבחין בין נשק תקין לשאינו תקין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תיתכן לכך רלבנטיות מסוימת לענין העונש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41707-03-22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אבו טראש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22.6.2022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הורשע נאשם בהחזקת אקדח חצי אוטומט ללא פין הדק ועצר מחלק ועונשו הוחמר ממאסר לריצוי בעבודות שירות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באר שבע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10251-07-22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6.12.2022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הורשע </w:t>
      </w:r>
      <w:r>
        <w:rPr>
          <w:rFonts w:ascii="David" w:hAnsi="David"/>
          <w:u w:val="single"/>
          <w:rtl w:val="true"/>
        </w:rPr>
        <w:t>קטין</w:t>
      </w:r>
      <w:r>
        <w:rPr>
          <w:rFonts w:ascii="David" w:hAnsi="David"/>
          <w:rtl w:val="true"/>
        </w:rPr>
        <w:t xml:space="preserve"> בעבירת החזקת נשק בכך שהחזיק אקדח תופי ללא נוקר והוטלו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14488-04-19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וקנין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23.2.2021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נקבע כי בהחזקת אקדח ללא נוקר ינוע מתחם הענישה בין </w:t>
      </w:r>
      <w:r>
        <w:rPr>
          <w:rFonts w:cs="David" w:ascii="David" w:hAnsi="David"/>
        </w:rPr>
        <w:t>6-18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6999-09-22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אחמד קאסם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7.4.2023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בו הורשע נאשם בעבירה של נשיאה והחזקת חלק של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ולא חלק מהותי שכן היה זה לפני תיקון </w:t>
      </w:r>
      <w:r>
        <w:rPr>
          <w:rFonts w:cs="David" w:ascii="David" w:hAnsi="David"/>
        </w:rPr>
        <w:t>145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בכך שהחזיק שישה מכלולים של </w:t>
      </w:r>
      <w:r>
        <w:rPr>
          <w:rFonts w:cs="David" w:ascii="David" w:hAnsi="David"/>
          <w:sz w:val="22"/>
          <w:szCs w:val="22"/>
        </w:rPr>
        <w:t>M</w:t>
      </w:r>
      <w:r>
        <w:rPr>
          <w:rFonts w:cs="David" w:ascii="David" w:hAnsi="David"/>
        </w:rPr>
        <w:t>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קבע מתחם עונש הנע בין </w:t>
      </w:r>
      <w:r>
        <w:rPr>
          <w:rFonts w:cs="David" w:ascii="David" w:hAnsi="David"/>
        </w:rPr>
        <w:t>12-24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הנאשם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ביחס לעבירות האלימות כלפי בת זוג אציין ש</w:t>
      </w:r>
      <w:r>
        <w:rPr>
          <w:rFonts w:ascii="David" w:hAnsi="David"/>
          <w:rtl w:val="true"/>
        </w:rPr>
        <w:t xml:space="preserve">מדיניות הענישה בעבירות </w:t>
      </w:r>
      <w:r>
        <w:rPr>
          <w:rFonts w:ascii="David" w:hAnsi="David"/>
          <w:rtl w:val="true"/>
        </w:rPr>
        <w:t>אלו</w:t>
      </w:r>
      <w:r>
        <w:rPr>
          <w:rFonts w:ascii="David" w:hAnsi="David"/>
          <w:rtl w:val="true"/>
        </w:rPr>
        <w:t xml:space="preserve"> מחמירה ובהיעדר נסיבות מיוחדות מוטלים לא אחת עונשי מאסר המבטאים את חומרת המעשה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המסוכנות והצורך בהגנה על הקורבן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1536/20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1.3.2020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>(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340/21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28.1.2021</w:t>
      </w:r>
      <w:r>
        <w:rPr>
          <w:rFonts w:cs="David" w:ascii="David" w:hAnsi="David"/>
          <w:rtl w:val="true"/>
        </w:rPr>
        <w:t>))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לצורך הדגמת מדיניות הענישה אפנה למקרים הבאים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המחויבים</w:t>
      </w:r>
      <w:r>
        <w:rPr>
          <w:rFonts w:cs="David" w:ascii="David" w:hAnsi="David"/>
          <w:rtl w:val="true"/>
        </w:rPr>
        <w:t xml:space="preserve">: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4355/24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אבו אנטילי</w:t>
      </w:r>
      <w:r>
        <w:rPr>
          <w:rFonts w:ascii="David" w:hAnsi="David"/>
          <w:b/>
          <w:b/>
          <w:bCs/>
          <w:rtl w:val="true"/>
        </w:rPr>
        <w:t xml:space="preserve">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23.6.2024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הורשע נאשם בעבירות אלימות כלפי זוגתו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אחד היכה בה באגרוף וחנק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 נוסף הפילה ארצה וחנק אותה עד שהתקשתה לנשום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באירועים נוספים דקר את צמיגי רכבה ואיים עליה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16-32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ועל הנאשם 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חרף המלצה חיובית של שירות המבחן</w:t>
      </w:r>
      <w:r>
        <w:rPr>
          <w:rFonts w:cs="David" w:ascii="David" w:hAnsi="David"/>
          <w:rtl w:val="true"/>
        </w:rPr>
        <w:t xml:space="preserve">;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2750/22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b/>
          <w:b/>
          <w:bCs/>
          <w:rtl w:val="true"/>
        </w:rPr>
        <w:t>אורי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9.5.2022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פרודתו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יהרגה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מציין כי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העונש שהושת על המבקש אינו מחמיר עמו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וודאי שאין בו משום סטייה ניכרת ממדיניות הענישה הנוהגת</w:t>
      </w:r>
      <w:r>
        <w:rPr>
          <w:rFonts w:cs="Miriam" w:ascii="Miriam" w:hAnsi="Miriam"/>
          <w:rtl w:val="true"/>
        </w:rPr>
        <w:t>"</w:t>
      </w:r>
      <w:r>
        <w:rPr>
          <w:rFonts w:cs="David" w:ascii="David" w:hAnsi="David"/>
          <w:rtl w:val="true"/>
        </w:rPr>
        <w:t xml:space="preserve">;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643/24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רומן חודוס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29.1.2024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נדחתה בקשת רשות ערעור של נאשם שהורשע בעבירת תקיפת בת זוג הגורמת חבלה ותקיפה סתם ונידון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הראשון הכה את המתלוננת במכת אגרוף בפניה ובמועד נוסף משך אותה משערות ראשה והכה אותה באגרופים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כי מתחם העונש ההולם 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שילובו בהליך טיפולי והמלצה חיובית של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ערכאות הערעור הותירו את העונש על כנו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7846/21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היתם אגבאריה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16.11.2021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בו נידון נאשם שהורשע בשתי עבירות איומים ושתי עבירות תקיפה סתם של בת זוגו לשמונה חודשי מאסר בפועל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איים על המתלוננת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 בחוזקה בשערה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השליך לעברה אבנים ובמועד נוסף איים עליה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בעט בה בהיותה הרה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בבטנה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לאור כל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אני בדעה כי מתחם הענישה ההולם את עבירות</w:t>
      </w:r>
      <w:r>
        <w:rPr>
          <w:rFonts w:ascii="David" w:hAnsi="David"/>
          <w:color w:val="000000"/>
          <w:rtl w:val="true"/>
        </w:rPr>
        <w:t xml:space="preserve"> האלימות שביצע הנאשם נע בין </w:t>
      </w:r>
      <w:r>
        <w:rPr>
          <w:rFonts w:cs="David" w:ascii="David" w:hAnsi="David"/>
          <w:color w:val="000000"/>
        </w:rPr>
        <w:t>6-24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 מאסר </w:t>
      </w:r>
      <w:r>
        <w:rPr>
          <w:rFonts w:ascii="David" w:hAnsi="David"/>
          <w:rtl w:val="true"/>
        </w:rPr>
        <w:t xml:space="preserve">ואילו מתחם הענישה בעבירות הנשק והסמים נע </w:t>
      </w:r>
      <w:r>
        <w:rPr>
          <w:rFonts w:cs="David" w:ascii="David" w:hAnsi="David"/>
        </w:rPr>
        <w:t>6-18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000000"/>
          <w:u w:val="single"/>
          <w:rtl w:val="true"/>
        </w:rPr>
      </w:r>
    </w:p>
    <w:p>
      <w:pPr>
        <w:pStyle w:val="ListParagraph"/>
        <w:spacing w:lineRule="auto" w:line="360"/>
        <w:ind w:start="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קביעת עונשו של הנאשם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רקע מתח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הענישה 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היעדר סיכויי שיקום המצדיקים חריגה</w:t>
      </w:r>
      <w:r>
        <w:rPr>
          <w:rFonts w:ascii="David" w:hAnsi="David"/>
          <w:rtl w:val="true"/>
        </w:rPr>
        <w:t xml:space="preserve"> 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מחלוקת בין הצדדים כי העונש הראוי הוא מאסר בכליאה וכל צד טען ביחס לאורך התקופה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דיון בעונשו של הנאשם אציין כי יש להצר על כך שהליך זה מסתיים בדרך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כל שכן בשים לב </w:t>
      </w:r>
      <w:r>
        <w:rPr>
          <w:rFonts w:ascii="David" w:hAnsi="David"/>
          <w:rtl w:val="true"/>
        </w:rPr>
        <w:t>לרקע העומד בבסיס העבירות ו</w:t>
      </w:r>
      <w:r>
        <w:rPr>
          <w:rFonts w:ascii="David" w:hAnsi="David"/>
          <w:rtl w:val="true"/>
        </w:rPr>
        <w:t>לעובדה שמדובר</w:t>
      </w:r>
      <w:r>
        <w:rPr>
          <w:rFonts w:ascii="David" w:hAnsi="David"/>
          <w:rtl w:val="true"/>
        </w:rPr>
        <w:t xml:space="preserve"> בבני זוג שככל הנראה ישובו </w:t>
      </w:r>
      <w:r>
        <w:rPr>
          <w:rFonts w:ascii="David" w:hAnsi="David"/>
          <w:color w:val="000000"/>
          <w:rtl w:val="true"/>
        </w:rPr>
        <w:t>לחיות יחדי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אציין ש</w:t>
      </w:r>
      <w:r>
        <w:rPr>
          <w:rFonts w:ascii="David" w:hAnsi="David"/>
          <w:color w:val="000000"/>
          <w:rtl w:val="true"/>
        </w:rPr>
        <w:t>אין בפני תסקיר ולא הובאו נתונים רלוונטיים הנדרשים לצורך הכרעה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 על אודות המסוכנות הנשקפת מהנאשם</w:t>
      </w:r>
      <w:r>
        <w:rPr>
          <w:rFonts w:ascii="David" w:hAnsi="David"/>
          <w:color w:val="000000"/>
          <w:rtl w:val="true"/>
        </w:rPr>
        <w:t xml:space="preserve"> ובמיוחד האם חלה הפחתה במסוכנות הנלמדת מעובדות כתב האישום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ind w:start="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</w:rPr>
        <w:t>בבואי לקבוע את העונש בגדרי מתחמי הענישה הבאתי בחשבון את גילו של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50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את הודאתו אשר הביאה לחיסכון ממשי בזמן וחסכה בעיקר את הצורך </w:t>
      </w:r>
      <w:r>
        <w:rPr>
          <w:rFonts w:ascii="David" w:hAnsi="David"/>
          <w:rtl w:val="true"/>
        </w:rPr>
        <w:t>בעדות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אינני מתעלם גם מהשפעת ההליך הפלילי 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חווית המעצר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והאפשרות הסבירה שהן יצרו אצל הנאשם אפקט מרתיע מסוים אשר עשוי להביא להפחתה במסוכנות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כי מובן שאין מדובר בקביעה שוות ערך לזו המבוססת על הערכת גורם מקצועי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אותה כאמור אין בפניי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הבאתי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במידה מסוימת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עמדת המתלוננת אשר ביקשה להקל בעונשו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הבאתי בחשבון את העבר הפלילי אם כי הוא אינו מכביד וכולל עבירות סמים בלבד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גבולם התחתון של מתחמי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סיכויי שיקום ומסוכנותו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להטיל על הנאשם עונש מאסר לריצוי בפועל</w:t>
      </w:r>
      <w:r>
        <w:rPr>
          <w:rFonts w:ascii="David" w:hAnsi="David"/>
          <w:rtl w:val="true"/>
        </w:rPr>
        <w:t xml:space="preserve"> ולתקופה שאינה קצרה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מדובר בתוצאה שאינה קלה עבור אדם שמעולם לא נשא עונש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בנושא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הועדה הציבורית לבחינת מדיניות הענישה והטיפול בעבריינים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 ועדת דורנר</w:t>
      </w:r>
      <w:r>
        <w:rPr>
          <w:rFonts w:cs="David" w:ascii="David" w:hAnsi="David"/>
          <w:rtl w:val="true"/>
        </w:rPr>
        <w:t xml:space="preserve">"); 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356/14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קפרוב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3.10.2017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אך </w:t>
      </w:r>
      <w:r>
        <w:rPr>
          <w:rFonts w:ascii="David" w:hAnsi="David"/>
          <w:rtl w:val="true"/>
        </w:rPr>
        <w:t>עונש זה מתחייב</w:t>
      </w:r>
      <w:r>
        <w:rPr>
          <w:rFonts w:ascii="David" w:hAnsi="David"/>
          <w:rtl w:val="true"/>
        </w:rPr>
        <w:t xml:space="preserve"> לאור ריבוי האירועים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מגוון העבירות</w:t>
      </w:r>
      <w:r>
        <w:rPr>
          <w:rFonts w:ascii="David" w:hAnsi="David"/>
          <w:rtl w:val="true"/>
        </w:rPr>
        <w:t xml:space="preserve"> והיעדר נתונים המצדיקים סטייה לקולה ממתחמי הענישה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סיכומו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מטיל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מיום מעצרו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27.6.24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והתנאי הוא שלא יעבור במשך שנתיים כל עבירה לפי </w:t>
      </w:r>
      <w:hyperlink r:id="rId39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או עבירת אלימות כלפי בן זוג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start="36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color w:val="000000"/>
          <w:rtl w:val="true"/>
        </w:rPr>
        <w:t xml:space="preserve">האקדח והסמים </w:t>
      </w:r>
      <w:r>
        <w:rPr>
          <w:rFonts w:ascii="David" w:hAnsi="David"/>
          <w:color w:val="000000"/>
          <w:rtl w:val="true"/>
        </w:rPr>
        <w:t>–</w:t>
      </w:r>
      <w:r>
        <w:rPr>
          <w:rFonts w:ascii="David" w:hAnsi="David"/>
          <w:color w:val="000000"/>
          <w:rtl w:val="true"/>
        </w:rPr>
        <w:t xml:space="preserve"> להשמיד בחלוף תקופת הערעור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הודעה זכות ערעור בתוך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 לבית המשפט המחוזי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</w:rPr>
      </w:pPr>
      <w:bookmarkStart w:id="11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חשוון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נובמבר </w:t>
      </w:r>
      <w:r>
        <w:rPr>
          <w:rFonts w:cs="David" w:ascii="David" w:hAnsi="David"/>
        </w:rPr>
        <w:t>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</w:t>
      </w:r>
      <w:r>
        <w:rPr>
          <w:rFonts w:cs="David" w:ascii="David" w:hAnsi="David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טורס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קריות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25053-07-24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קארן טמזיאן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56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Times New Roman" w:hAnsi="Times New Roman" w:eastAsia="Times New Roman" w:cs="David"/>
      <w:sz w:val="24"/>
      <w:szCs w:val="24"/>
    </w:rPr>
  </w:style>
  <w:style w:type="character" w:styleId="P00">
    <w:name w:val="P00 תו"/>
    <w:qFormat/>
    <w:rPr>
      <w:szCs w:val="26"/>
      <w:lang w:val="en-IL" w:eastAsia="en-IL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Calibri" w:hAnsi="Calibri" w:eastAsia="Calibri" w:cs="Arial"/>
      <w:color w:val="auto"/>
      <w:sz w:val="22"/>
      <w:szCs w:val="26"/>
      <w:lang w:val="en-US" w:eastAsia="en-IL" w:bidi="he-IL"/>
    </w:rPr>
  </w:style>
  <w:style w:type="paragraph" w:styleId="P22">
    <w:name w:val="P22"/>
    <w:basedOn w:val="P001"/>
    <w:qFormat/>
    <w:pPr>
      <w:ind w:hanging="0" w:start="2835" w:end="102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c1.1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2.b.1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4216/7.a." TargetMode="External"/><Relationship Id="rId11" Type="http://schemas.openxmlformats.org/officeDocument/2006/relationships/hyperlink" Target="http://www.nevo.co.il/law/4216/7.c" TargetMode="External"/><Relationship Id="rId12" Type="http://schemas.openxmlformats.org/officeDocument/2006/relationships/hyperlink" Target="http://www.nevo.co.il/law/70301/382.b.1" TargetMode="External"/><Relationship Id="rId13" Type="http://schemas.openxmlformats.org/officeDocument/2006/relationships/hyperlink" Target="http://www.nevo.co.il/law/70301/37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92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4216/7.a.;7.c" TargetMode="External"/><Relationship Id="rId18" Type="http://schemas.openxmlformats.org/officeDocument/2006/relationships/hyperlink" Target="http://www.nevo.co.il/law/4216" TargetMode="External"/><Relationship Id="rId19" Type="http://schemas.openxmlformats.org/officeDocument/2006/relationships/hyperlink" Target="http://www.nevo.co.il/case/27654226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/144" TargetMode="External"/><Relationship Id="rId22" Type="http://schemas.openxmlformats.org/officeDocument/2006/relationships/hyperlink" Target="http://www.nevo.co.il/law/70301/144.c1.1" TargetMode="External"/><Relationship Id="rId23" Type="http://schemas.openxmlformats.org/officeDocument/2006/relationships/hyperlink" Target="http://www.nevo.co.il/case/28413605" TargetMode="External"/><Relationship Id="rId24" Type="http://schemas.openxmlformats.org/officeDocument/2006/relationships/hyperlink" Target="http://www.nevo.co.il/case/25601866" TargetMode="External"/><Relationship Id="rId25" Type="http://schemas.openxmlformats.org/officeDocument/2006/relationships/hyperlink" Target="http://www.nevo.co.il/case/29867910" TargetMode="External"/><Relationship Id="rId26" Type="http://schemas.openxmlformats.org/officeDocument/2006/relationships/hyperlink" Target="http://www.nevo.co.il/case/26383419" TargetMode="External"/><Relationship Id="rId27" Type="http://schemas.openxmlformats.org/officeDocument/2006/relationships/hyperlink" Target="http://www.nevo.co.il/case/20446658" TargetMode="External"/><Relationship Id="rId28" Type="http://schemas.openxmlformats.org/officeDocument/2006/relationships/hyperlink" Target="http://www.nevo.co.il/case/28413605" TargetMode="External"/><Relationship Id="rId29" Type="http://schemas.openxmlformats.org/officeDocument/2006/relationships/hyperlink" Target="http://www.nevo.co.il/case/30214295" TargetMode="External"/><Relationship Id="rId30" Type="http://schemas.openxmlformats.org/officeDocument/2006/relationships/hyperlink" Target="http://www.nevo.co.il/case/25601866" TargetMode="External"/><Relationship Id="rId31" Type="http://schemas.openxmlformats.org/officeDocument/2006/relationships/hyperlink" Target="http://www.nevo.co.il/case/28914731" TargetMode="External"/><Relationship Id="rId32" Type="http://schemas.openxmlformats.org/officeDocument/2006/relationships/hyperlink" Target="http://www.nevo.co.il/case/26496248" TargetMode="External"/><Relationship Id="rId33" Type="http://schemas.openxmlformats.org/officeDocument/2006/relationships/hyperlink" Target="http://www.nevo.co.il/case/27330910" TargetMode="External"/><Relationship Id="rId34" Type="http://schemas.openxmlformats.org/officeDocument/2006/relationships/hyperlink" Target="http://www.nevo.co.il/case/30706197" TargetMode="External"/><Relationship Id="rId35" Type="http://schemas.openxmlformats.org/officeDocument/2006/relationships/hyperlink" Target="http://www.nevo.co.il/case/28553961" TargetMode="External"/><Relationship Id="rId36" Type="http://schemas.openxmlformats.org/officeDocument/2006/relationships/hyperlink" Target="http://www.nevo.co.il/case/30376199" TargetMode="External"/><Relationship Id="rId37" Type="http://schemas.openxmlformats.org/officeDocument/2006/relationships/hyperlink" Target="http://www.nevo.co.il/case/28096684" TargetMode="External"/><Relationship Id="rId38" Type="http://schemas.openxmlformats.org/officeDocument/2006/relationships/hyperlink" Target="http://www.nevo.co.il/case/11206078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2024-11-12T14:17:00Z</dcterms:created>
  <dc:creator> </dc:creator>
  <dc:description/>
  <cp:keywords/>
  <dc:language>en-IL</dc:language>
  <cp:lastModifiedBy>h1</cp:lastModifiedBy>
  <dcterms:modified xsi:type="dcterms:W3CDTF">2024-11-12T14:17:00Z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קארן טמזיאן</vt:lpwstr>
  </property>
  <property fmtid="{D5CDD505-2E9C-101B-9397-08002B2CF9AE}" pid="4" name="CASESLISTTMP1">
    <vt:lpwstr>27654226;28413605:2;25601866:2;29867910;26383419;20446658;30214295;28914731;26496248;27330910;30706197;28553961;30376199;28096684;11206078</vt:lpwstr>
  </property>
  <property fmtid="{D5CDD505-2E9C-101B-9397-08002B2CF9AE}" pid="5" name="CITY">
    <vt:lpwstr>קריות</vt:lpwstr>
  </property>
  <property fmtid="{D5CDD505-2E9C-101B-9397-08002B2CF9AE}" pid="6" name="DATE">
    <vt:lpwstr>20241110</vt:lpwstr>
  </property>
  <property fmtid="{D5CDD505-2E9C-101B-9397-08002B2CF9AE}" pid="7" name="ISABSTRACT">
    <vt:lpwstr>Y</vt:lpwstr>
  </property>
  <property fmtid="{D5CDD505-2E9C-101B-9397-08002B2CF9AE}" pid="8" name="JUDGE">
    <vt:lpwstr>יוסי טורס</vt:lpwstr>
  </property>
  <property fmtid="{D5CDD505-2E9C-101B-9397-08002B2CF9AE}" pid="9" name="LAWLISTTMP1">
    <vt:lpwstr>70301/382.b.1;379;192;144.a:2;144:2;144.c1.1</vt:lpwstr>
  </property>
  <property fmtid="{D5CDD505-2E9C-101B-9397-08002B2CF9AE}" pid="10" name="LAWLISTTMP2">
    <vt:lpwstr>4216/007.a;007.c</vt:lpwstr>
  </property>
  <property fmtid="{D5CDD505-2E9C-101B-9397-08002B2CF9AE}" pid="11" name="NEWPARTA">
    <vt:lpwstr>25053</vt:lpwstr>
  </property>
  <property fmtid="{D5CDD505-2E9C-101B-9397-08002B2CF9AE}" pid="12" name="NEWPARTB">
    <vt:lpwstr>07</vt:lpwstr>
  </property>
  <property fmtid="{D5CDD505-2E9C-101B-9397-08002B2CF9AE}" pid="13" name="NEWPARTC">
    <vt:lpwstr>24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380020241110</vt:lpwstr>
  </property>
  <property fmtid="{D5CDD505-2E9C-101B-9397-08002B2CF9AE}" pid="18" name="TYPE_N_DATE">
    <vt:lpwstr>38020241110</vt:lpwstr>
  </property>
  <property fmtid="{D5CDD505-2E9C-101B-9397-08002B2CF9AE}" pid="19" name="WORDNUMPAGES">
    <vt:lpwstr>8</vt:lpwstr>
  </property>
</Properties>
</file>