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706"/>
        <w:gridCol w:w="461"/>
        <w:gridCol w:w="1073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בקריות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70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2509-04-09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 משה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90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 בן משה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רוזן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טומי נדשי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הודה בעובדות שבכתב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לפיכך </w:t>
      </w:r>
      <w:r>
        <w:rPr>
          <w:rtl w:val="true"/>
        </w:rPr>
        <w:t xml:space="preserve">- </w:t>
      </w:r>
      <w:r>
        <w:rPr>
          <w:rtl w:val="true"/>
        </w:rPr>
        <w:t>הנני מרשיעה את הנאשם בעבירה</w:t>
      </w:r>
      <w:r>
        <w:rPr>
          <w:rtl w:val="true"/>
        </w:rPr>
        <w:t>/</w:t>
      </w:r>
      <w:r>
        <w:rPr>
          <w:rtl w:val="true"/>
        </w:rPr>
        <w:t>ות שיוחסה</w:t>
      </w:r>
      <w:r>
        <w:rPr>
          <w:rtl w:val="true"/>
        </w:rPr>
        <w:t>/</w:t>
      </w:r>
      <w:r>
        <w:rPr>
          <w:rtl w:val="true"/>
        </w:rPr>
        <w:t>ו לו בכתב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07/04/2009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הורשע בעביר</w:t>
      </w:r>
      <w:r>
        <w:rPr>
          <w:rtl w:val="true"/>
        </w:rPr>
        <w:t>ות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>החזקת תחמושת שלא כדין והחזקת נכס חשוד כגנוב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הודה בהזדמנות הראשונה במסגרת הסדר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אכן מדובר בעבירות חמורות ולחובת הנאשם הרשעות קודמות בהן עבירה דומה של החזקת נכס חשוד כגנוב</w:t>
      </w:r>
      <w:r>
        <w:rPr>
          <w:rtl w:val="true"/>
        </w:rPr>
        <w:t xml:space="preserve">, </w:t>
      </w:r>
      <w:r>
        <w:rPr>
          <w:rtl w:val="true"/>
        </w:rPr>
        <w:t>אך גם בעבירות של החזקת סכין שלא כדין</w:t>
      </w:r>
      <w:r>
        <w:rPr>
          <w:rtl w:val="true"/>
        </w:rPr>
        <w:t xml:space="preserve">, </w:t>
      </w:r>
      <w:r>
        <w:rPr>
          <w:rtl w:val="true"/>
        </w:rPr>
        <w:t>תקיפה סתם של בת זוג ואיומים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לאחר ששמעתי את נמוקי הצדדים</w:t>
      </w:r>
      <w:r>
        <w:rPr>
          <w:rtl w:val="true"/>
        </w:rPr>
        <w:t xml:space="preserve">, </w:t>
      </w:r>
      <w:r>
        <w:rPr>
          <w:rtl w:val="true"/>
        </w:rPr>
        <w:t>אני קובעת כי הסדר הטיעון אליו הגיעו הצדדים מקיים את האיזון הראוי בין האינטרס הציבורי הפרטני והאינטרס הציבורי הרחב</w:t>
      </w:r>
      <w:r>
        <w:rPr>
          <w:rtl w:val="true"/>
        </w:rPr>
        <w:t xml:space="preserve">, </w:t>
      </w:r>
      <w:r>
        <w:rPr>
          <w:rtl w:val="true"/>
        </w:rPr>
        <w:t>שמייצגת התביעה</w:t>
      </w:r>
      <w:r>
        <w:rPr>
          <w:rtl w:val="true"/>
        </w:rPr>
        <w:t xml:space="preserve">, </w:t>
      </w:r>
      <w:r>
        <w:rPr>
          <w:rtl w:val="true"/>
        </w:rPr>
        <w:t>לבין טובת ההנאה שניתנה לנאשם</w:t>
      </w:r>
      <w:r>
        <w:rPr>
          <w:rtl w:val="true"/>
        </w:rPr>
        <w:t xml:space="preserve">, </w:t>
      </w:r>
      <w:r>
        <w:rPr>
          <w:rtl w:val="true"/>
        </w:rPr>
        <w:t xml:space="preserve">כפי שנקבע בהלכת פלוני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), </w:t>
      </w:r>
      <w:r>
        <w:rPr>
          <w:rtl w:val="true"/>
        </w:rPr>
        <w:t>ולכן בכוונת בית המשפט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בפועל לתקופה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חודשים ממנה ינוכו ימי מעצרו מיום </w:t>
      </w:r>
      <w:r>
        <w:rPr/>
        <w:t>30.3.09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7.4.09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על תנאי לתקופה של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 xml:space="preserve">והתנאי הוא </w:t>
      </w:r>
      <w:r>
        <w:rPr>
          <w:rtl w:val="true"/>
        </w:rPr>
        <w:t xml:space="preserve">- </w:t>
      </w:r>
      <w:r>
        <w:rPr>
          <w:rtl w:val="true"/>
        </w:rPr>
        <w:t xml:space="preserve">כי לא יעבור עבירה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דנה את הנאשם למאסר על תנאי 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חודשים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 xml:space="preserve">והתנאי הוא </w:t>
      </w:r>
      <w:r>
        <w:rPr>
          <w:rtl w:val="true"/>
        </w:rPr>
        <w:t xml:space="preserve">- </w:t>
      </w:r>
      <w:r>
        <w:rPr>
          <w:rtl w:val="true"/>
        </w:rPr>
        <w:t xml:space="preserve">כי לא יעבור עבירה </w:t>
      </w:r>
      <w:r>
        <w:rPr>
          <w:rtl w:val="true"/>
        </w:rPr>
        <w:t xml:space="preserve">לפי סעיף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יתייצב לרצוי עונש המאסר בתאריך </w:t>
      </w:r>
      <w:r>
        <w:rPr/>
        <w:t>19.4.09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08.00</w:t>
      </w:r>
      <w:r>
        <w:rPr>
          <w:rtl w:val="true"/>
        </w:rPr>
        <w:t xml:space="preserve"> </w:t>
      </w:r>
      <w:r>
        <w:rPr>
          <w:rtl w:val="true"/>
        </w:rPr>
        <w:t>במזכירות המדור הפלילי בבית משפט השלום בקריות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הנאשם ישוחרר עתה כפוף להפקדה כספית או המצאת ערבות בנקאית בסך של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 xml:space="preserve">וכן בכפוף חתימה על ערבות עצמית </w:t>
      </w:r>
      <w:r>
        <w:rPr>
          <w:rtl w:val="true"/>
        </w:rPr>
        <w:t xml:space="preserve">+ </w:t>
      </w:r>
      <w:r>
        <w:rPr>
          <w:rtl w:val="true"/>
        </w:rPr>
        <w:t>צד 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כל אחד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מוצא בזאת צו עכוב יציאה מן הארץ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על הנאשם להפקיד את דרכונו במזכירות בית המשפט עד מחר בשעה </w:t>
      </w:r>
      <w:r>
        <w:rPr/>
        <w:t>12.00</w:t>
      </w:r>
      <w:r>
        <w:rPr>
          <w:rtl w:val="true"/>
        </w:rPr>
        <w:t xml:space="preserve"> </w:t>
      </w:r>
      <w:r>
        <w:rPr>
          <w:rtl w:val="true"/>
        </w:rPr>
        <w:t>וכך גם את ההפקדה הכספית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במידה ואלה לא יופקדו עד מחר</w:t>
      </w:r>
      <w:r>
        <w:rPr>
          <w:rtl w:val="true"/>
        </w:rPr>
        <w:t xml:space="preserve">, </w:t>
      </w:r>
      <w:r>
        <w:rPr>
          <w:rtl w:val="true"/>
        </w:rPr>
        <w:t>ייעצר ויובא בפני שופט תורן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עד מועד התייצבותו </w:t>
      </w:r>
      <w:r>
        <w:rPr/>
        <w:t>0</w:t>
      </w:r>
      <w:r>
        <w:rPr>
          <w:rtl w:val="true"/>
        </w:rPr>
        <w:t xml:space="preserve"> </w:t>
      </w:r>
      <w:r>
        <w:rPr/>
        <w:t>19.4.09</w:t>
      </w:r>
      <w:r>
        <w:rPr>
          <w:rtl w:val="true"/>
        </w:rPr>
        <w:t xml:space="preserve"> </w:t>
      </w:r>
      <w:r>
        <w:rPr>
          <w:rtl w:val="true"/>
        </w:rPr>
        <w:t xml:space="preserve">ישהה הנאשם במעצר בית מלא בבית אמו נני בן משה ברחוב שמחוני אסף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בקרית אתא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מתירה לנאשם לצאת בליווי אביו ראובן לבקר את גיסתו בבית החולים פעם אחת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מתירה לנאשם לצאת לתפילה בערב החג ובחג הראשון בליווי אביו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מורה כי הנשק והרכוש נשוא סעיף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 האישום יושמדו או יוחזרו לבעלי</w:t>
      </w:r>
      <w:r>
        <w:rPr>
          <w:rtl w:val="true"/>
        </w:rPr>
        <w:t xml:space="preserve">, </w:t>
      </w:r>
      <w:r>
        <w:rPr>
          <w:rtl w:val="true"/>
        </w:rPr>
        <w:t>אם יאותרו כאלה</w:t>
      </w:r>
      <w:r>
        <w:rPr>
          <w:rtl w:val="true"/>
        </w:rPr>
        <w:t xml:space="preserve">, </w:t>
      </w:r>
      <w:r>
        <w:rPr>
          <w:rtl w:val="true"/>
        </w:rPr>
        <w:t xml:space="preserve">ואילו יתר הרכוש אשר לא אוזכר בכתב האישום </w:t>
      </w:r>
      <w:r>
        <w:rPr>
          <w:rtl w:val="true"/>
        </w:rPr>
        <w:t>–</w:t>
      </w:r>
      <w:r>
        <w:rPr>
          <w:rtl w:val="true"/>
        </w:rPr>
        <w:t xml:space="preserve"> יוחזר 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ניסן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07/04/2009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אורית קנטור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אורית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קנטור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מואטי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סיגל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/Users/liorb/Downloads/study2025-p2/SH-09-04-2509.doc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קריות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2509-04-09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דוד בן 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509-04-09"/>
    <w:docVar w:name="caseId" w:val="12190668"/>
    <w:docVar w:name="deriveClass" w:val="NGCS.Protocol.BL.Client.ProtocolBLClientCriminal"/>
    <w:docVar w:name="firstPageNumber" w:val="1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00658"/>
    <w:docVar w:name="releaseSign" w:val="0"/>
    <w:docVar w:name="sittingDateTime" w:val="07/04/2009 13:30     "/>
    <w:docVar w:name="sittingId" w:val="1246838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360"/>
    </w:pPr>
    <w:rPr>
      <w:rFonts w:ascii="Times New Roman" w:hAnsi="Times New Roman" w:eastAsia="Times New Roman" w:cs="Times New Roman"/>
      <w:b/>
      <w:bCs/>
      <w:sz w:val="20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06;&#1508;%201958/98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2009-04-12T00:48:00Z</dcterms:created>
  <dc:creator> </dc:creator>
  <dc:description/>
  <cp:keywords/>
  <dc:language>en-IL</dc:language>
  <cp:lastModifiedBy>hofit</cp:lastModifiedBy>
  <cp:lastPrinted>2009-04-07T16:09:00Z</cp:lastPrinted>
  <dcterms:modified xsi:type="dcterms:W3CDTF">2009-04-12T09:44:00Z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 בן משה</vt:lpwstr>
  </property>
  <property fmtid="{D5CDD505-2E9C-101B-9397-08002B2CF9AE}" pid="4" name="CITY">
    <vt:lpwstr>קריות</vt:lpwstr>
  </property>
  <property fmtid="{D5CDD505-2E9C-101B-9397-08002B2CF9AE}" pid="5" name="DATE">
    <vt:lpwstr>20090407</vt:lpwstr>
  </property>
  <property fmtid="{D5CDD505-2E9C-101B-9397-08002B2CF9AE}" pid="6" name="DELEMATA">
    <vt:lpwstr/>
  </property>
  <property fmtid="{D5CDD505-2E9C-101B-9397-08002B2CF9AE}" pid="7" name="JUDGE">
    <vt:lpwstr>אורית קנטור</vt:lpwstr>
  </property>
  <property fmtid="{D5CDD505-2E9C-101B-9397-08002B2CF9AE}" pid="8" name="LAWYER">
    <vt:lpwstr>רוזן;טומי נדשי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2509</vt:lpwstr>
  </property>
  <property fmtid="{D5CDD505-2E9C-101B-9397-08002B2CF9AE}" pid="22" name="NEWPARTB">
    <vt:lpwstr>04</vt:lpwstr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380020090407</vt:lpwstr>
  </property>
  <property fmtid="{D5CDD505-2E9C-101B-9397-08002B2CF9AE}" pid="34" name="TYPE_N_DATE">
    <vt:lpwstr>38020090407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