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25121-07-14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,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היחידה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המשפטית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אזור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ותיקים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מיוחדים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האדי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9"/>
        <w:gridCol w:w="7511"/>
      </w:tblGrid>
      <w:tr>
        <w:trPr>
          <w:trHeight w:val="295" w:hRule="atLeast"/>
        </w:trPr>
        <w:tc>
          <w:tcPr>
            <w:tcW w:w="13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הישאם  אבו שחאדה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רשות המיסים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,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היחידה המשפטית אזור מרכז ותיקים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מיוחדים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קדור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pacing w:lineRule="auto" w:line="360" w:before="12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51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נאדר עבד אל האדי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שלומי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קלימיאן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5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חוק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מס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ערך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מוסף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</w:rPr>
        <w:t>25,000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קנס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6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חוק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מס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ערך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מוסף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בקובעו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השתמטות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751,041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שהועלם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המיסים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20,000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</w:rPr>
        <w:t>25,000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הורשע על פי הודאתו בעובדות כתב האישום המתוקן בביצוען של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של ביצוע פעולות במטרה להביא לכך שאדם אחר יתחמק מתשלום מס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מס ערך מוסף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–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השנים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-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התקופה הרלבנטית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ביצע הנאשם עסקאות עם החברות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עוף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וברקאי למהדרין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והוציא להן </w:t>
      </w:r>
      <w:r>
        <w:rPr>
          <w:rFonts w:cs="Arial" w:ascii="Arial" w:hAnsi="Arial"/>
          <w:b/>
          <w:bCs/>
          <w:u w:val="single"/>
        </w:rPr>
        <w:t>27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מסמכים הנחזים לחשבוניות מס על שם שלושה עוסקים שונים וזאת מבלי שעוסקים אלה עשו או התכוונו לעשות עסקאות עם חב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עוף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וברקאי למהדרין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החשבוניות הכוזבות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וזאת במטרה להתחמק מתשלום מס הגלום בעסקאות שביצע ואשר בגינן הוצאו החשבוניות הכוזבות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סך כל החשבוניות הכוזבות שהוציא הנאשם הינו בסכום של </w:t>
      </w:r>
      <w:r>
        <w:rPr>
          <w:rFonts w:cs="Arial" w:ascii="Arial" w:hAnsi="Arial"/>
        </w:rPr>
        <w:t>5,596,475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כולל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כאשר המס הגלום בהן הוא בסך </w:t>
      </w:r>
      <w:r>
        <w:rPr>
          <w:rFonts w:cs="Arial" w:ascii="Arial" w:hAnsi="Arial"/>
        </w:rPr>
        <w:t>751,041</w:t>
      </w:r>
      <w:r>
        <w:rPr>
          <w:rFonts w:cs="Arial" w:ascii="Arial" w:hAnsi="Arial"/>
          <w:rtl w:val="true"/>
        </w:rPr>
        <w:t xml:space="preserve"> ₪,  </w:t>
      </w:r>
      <w:r>
        <w:rPr>
          <w:rFonts w:ascii="Arial" w:hAnsi="Arial" w:cs="Arial"/>
          <w:rtl w:val="true"/>
        </w:rPr>
        <w:t>הכל כמפורט בנספח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לכתב 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הצדדים הגיעו להסדר טיעון לפיו יושת על הנאשם עונש מוסכם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סוכם ביניהם כי יושת על הנאשם קנס וגם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לגבי שני רכיבים אלה יטענו באופן פתוח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 כוח המאשימה טען כי מתחם הקנס ההולם צריך לנוע בין </w:t>
      </w:r>
      <w:r>
        <w:rPr>
          <w:rFonts w:cs="Arial" w:ascii="Arial" w:hAnsi="Arial"/>
        </w:rPr>
        <w:t>37,000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75,000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 כוח הנאשם טען שהעונש הראוי הוא של מספר אלפי שקלים ולכל היותר קנס בסך של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 הנאשם בחר לחשוף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מיוזמתו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בפני בית משפט פרטים מהמשא ומתן שנוהל בין הצדדים במסגרת הליך הגישור שהתקיים ביניהם בפני שופט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 כוח המאשימה התנגד לחשיפת פרטי המשא ומתן בפני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רלוונטיות לפרטי המשא ומתן שהתנהל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בהליך הגישור בפני שופט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לעניין גובה הקנס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לאור העובדה שהצדדים בחרו להשאיר את הנתון של גובה הקנס </w:t>
      </w:r>
      <w:r>
        <w:rPr>
          <w:rFonts w:ascii="Arial" w:hAnsi="Arial" w:cs="Arial"/>
          <w:u w:val="single"/>
          <w:rtl w:val="true"/>
        </w:rPr>
        <w:t>לשיקול דעתו של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 ייעשה במנותק מהדברים שנאמרו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בא כוח הנאשם במעמד הדיון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 כוח המאשימה הציג את הרישום הפלילי של הנאשם אשר כולל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אלימות ורכוש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הנאשם הציג בפני בית המשפט מסמכים שונים שנוגעים לנסיבותיו האישיות של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סיכום מידע רפואי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ואשר לפיו הנאשם סובל מסוכרת ולחץ דם גבוה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מקבל גמלת הבטחת הכנסה מהמוסד לביטוח לאומי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כאינדיקציה למצבו הכלכלי הקשה של הנאשם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 הנאשם טען כי החברות שקיבלו את החשבוניות מהנאשם הגיעו להסדר עם רשויות המס ואשר לפיו הוטל עליהן לשלם כופר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שכבר שולם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לראות את המחדל נשוא כתב האישום כמחדל שכבר הוסר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המאשימה התנגד לטיעון זה וטען שהמחדל הוסר ביחסים שבין החברות שקיבלו את החשבוניות מהנאשם לבין רשות המיסים אך לא במישור היחסים שבין הנאשם לבין רשות המיסים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בסכום השתמטות ממס בסך כולל של </w:t>
      </w:r>
      <w:r>
        <w:rPr>
          <w:rFonts w:cs="Arial" w:ascii="Arial" w:hAnsi="Arial"/>
        </w:rPr>
        <w:t>751,041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שהינו 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שהועלם מרשויות המיסים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למתחם העונש ההולם לעבירות דומות אפנה לפסיקה שלהלן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5442/14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4.9.14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674,092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1634/10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23.6.10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847,053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2843/11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17.4.11</w:t>
      </w:r>
      <w:r>
        <w:rPr>
          <w:rtl w:val="true"/>
        </w:rPr>
        <w:t xml:space="preserve">).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4919/14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6.3.17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tl w:val="true"/>
        </w:rPr>
        <w:t xml:space="preserve">: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לגבייתו</w:t>
      </w:r>
      <w:r>
        <w:rPr>
          <w:rtl w:val="true"/>
        </w:rPr>
        <w:t xml:space="preserve">; </w:t>
      </w:r>
      <w:r>
        <w:rPr>
          <w:rtl w:val="true"/>
        </w:rPr>
        <w:t>והשניה</w:t>
      </w:r>
      <w:r>
        <w:rPr>
          <w:rtl w:val="true"/>
        </w:rPr>
        <w:t xml:space="preserve">,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שאקבע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קובע כי מתחם העונש ההולם לעבירות נשוא כתב האישום הוא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בעת קביעת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(W1);Arial" w:hAnsi="Arial (W1);Arial" w:cs="Arial (W1);Arial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1.8.17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סיוון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Arial (W1)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25121-07-14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נאדר עבד אל האדי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Style14">
    <w:name w:val="כותרת עליונה תו"/>
    <w:qFormat/>
    <w:rPr>
      <w:rFonts w:ascii="Times New Roman" w:hAnsi="Times New Roman" w:eastAsia="Times New Roman" w:cs="David"/>
      <w:sz w:val="24"/>
      <w:szCs w:val="24"/>
    </w:rPr>
  </w:style>
  <w:style w:type="character" w:styleId="Style15">
    <w:name w:val="כותרת תחתונה תו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b" TargetMode="External"/><Relationship Id="rId4" Type="http://schemas.openxmlformats.org/officeDocument/2006/relationships/hyperlink" Target="http://www.nevo.co.il/law/72813/117.b1" TargetMode="External"/><Relationship Id="rId5" Type="http://schemas.openxmlformats.org/officeDocument/2006/relationships/hyperlink" Target="http://www.nevo.co.il/law/72813" TargetMode="External"/><Relationship Id="rId6" Type="http://schemas.openxmlformats.org/officeDocument/2006/relationships/hyperlink" Target="http://www.nevo.co.il/law/72813" TargetMode="External"/><Relationship Id="rId7" Type="http://schemas.openxmlformats.org/officeDocument/2006/relationships/hyperlink" Target="http://www.nevo.co.il/law/72813/117.b1" TargetMode="External"/><Relationship Id="rId8" Type="http://schemas.openxmlformats.org/officeDocument/2006/relationships/hyperlink" Target="http://www.nevo.co.il/law/72813" TargetMode="External"/><Relationship Id="rId9" Type="http://schemas.openxmlformats.org/officeDocument/2006/relationships/hyperlink" Target="http://www.nevo.co.il/case/17908522" TargetMode="External"/><Relationship Id="rId10" Type="http://schemas.openxmlformats.org/officeDocument/2006/relationships/hyperlink" Target="http://www.nevo.co.il/law/72813/117.b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case/5767640" TargetMode="External"/><Relationship Id="rId13" Type="http://schemas.openxmlformats.org/officeDocument/2006/relationships/hyperlink" Target="http://www.nevo.co.il/case/5860056" TargetMode="External"/><Relationship Id="rId14" Type="http://schemas.openxmlformats.org/officeDocument/2006/relationships/hyperlink" Target="http://www.nevo.co.il/case/17043259" TargetMode="External"/><Relationship Id="rId15" Type="http://schemas.openxmlformats.org/officeDocument/2006/relationships/hyperlink" Target="http://www.nevo.co.il/law/72813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2017-06-20T05:44:00Z</dcterms:created>
  <dc:creator> </dc:creator>
  <dc:description/>
  <cp:keywords/>
  <dc:language>en-IL</dc:language>
  <cp:lastModifiedBy>orly</cp:lastModifiedBy>
  <dcterms:modified xsi:type="dcterms:W3CDTF">2017-06-20T05:44:00Z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נאדר עבד אל האדי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17908522;5767640;5860056;17043259</vt:lpwstr>
  </property>
  <property fmtid="{D5CDD505-2E9C-101B-9397-08002B2CF9AE}" pid="9" name="CITY">
    <vt:lpwstr>רמ'</vt:lpwstr>
  </property>
  <property fmtid="{D5CDD505-2E9C-101B-9397-08002B2CF9AE}" pid="10" name="DATE">
    <vt:lpwstr>20170611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72813/117.b1;117.b</vt:lpwstr>
  </property>
  <property fmtid="{D5CDD505-2E9C-101B-9397-08002B2CF9AE}" pid="15" name="LAWYER">
    <vt:lpwstr>כרמל קדור;שלומי קלימיאן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שירי</vt:lpwstr>
  </property>
  <property fmtid="{D5CDD505-2E9C-101B-9397-08002B2CF9AE}" pid="22" name="NEWPARTA">
    <vt:lpwstr>25121</vt:lpwstr>
  </property>
  <property fmtid="{D5CDD505-2E9C-101B-9397-08002B2CF9AE}" pid="23" name="NEWPARTB">
    <vt:lpwstr>07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מס</vt:lpwstr>
  </property>
  <property fmtid="{D5CDD505-2E9C-101B-9397-08002B2CF9AE}" pid="49" name="NOSE310">
    <vt:lpwstr/>
  </property>
  <property fmtid="{D5CDD505-2E9C-101B-9397-08002B2CF9AE}" pid="50" name="NOSE32">
    <vt:lpwstr>דרכי ענישה: קנס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12048;8971</vt:lpwstr>
  </property>
  <property fmtid="{D5CDD505-2E9C-101B-9397-08002B2CF9AE}" pid="59" name="PADIDATE">
    <vt:lpwstr>20170620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3</vt:lpwstr>
  </property>
  <property fmtid="{D5CDD505-2E9C-101B-9397-08002B2CF9AE}" pid="68" name="TYPE_ABS_DATE">
    <vt:lpwstr>380120170611</vt:lpwstr>
  </property>
  <property fmtid="{D5CDD505-2E9C-101B-9397-08002B2CF9AE}" pid="69" name="TYPE_N_DATE">
    <vt:lpwstr>38020170611</vt:lpwstr>
  </property>
  <property fmtid="{D5CDD505-2E9C-101B-9397-08002B2CF9AE}" pid="70" name="VOLUME">
    <vt:lpwstr/>
  </property>
  <property fmtid="{D5CDD505-2E9C-101B-9397-08002B2CF9AE}" pid="71" name="WORDNUMPAGES">
    <vt:lpwstr>5</vt:lpwstr>
  </property>
</Properties>
</file>