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25425-02-22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עדרה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השופטת  טל לחיאני שהם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גיורא חזן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ascii="David" w:hAnsi="David"/>
                <w:b/>
                <w:b/>
                <w:bCs/>
                <w:rtl w:val="true"/>
              </w:rPr>
              <w:t>נ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ג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מהראן אבו עדרה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אכרם חסונה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בילאל אבו גליון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ד אבנר שמש 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3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קארם קאדי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יוסי זילברברג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4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ישמעאל אלקאדי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נאשף דרויש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453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לפרק 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לפרק 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לפרק 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6"/>
          <w:sz w:val="36"/>
          <w:szCs w:val="36"/>
          <w:u w:val="single"/>
          <w:rtl w:val="true"/>
        </w:rPr>
        <w:t xml:space="preserve">גזר </w:t>
      </w:r>
      <w:r>
        <w:rPr>
          <w:rFonts w:cs="David" w:ascii="David" w:hAnsi="David"/>
          <w:b/>
          <w:bCs/>
          <w:sz w:val="36"/>
          <w:szCs w:val="36"/>
          <w:u w:val="single"/>
          <w:rtl w:val="true"/>
        </w:rPr>
        <w:t xml:space="preserve">- </w:t>
      </w:r>
      <w:r>
        <w:rPr>
          <w:rFonts w:ascii="David" w:hAnsi="David"/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  <w:r>
        <w:rPr>
          <w:rFonts w:cs="David" w:ascii="David" w:hAnsi="David"/>
          <w:b/>
          <w:bCs/>
          <w:sz w:val="36"/>
          <w:szCs w:val="3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36"/>
          <w:szCs w:val="36"/>
          <w:u w:val="single"/>
        </w:rPr>
      </w:pPr>
      <w:r>
        <w:rPr>
          <w:rFonts w:cs="David" w:ascii="David" w:hAnsi="David"/>
          <w:b/>
          <w:bCs/>
          <w:sz w:val="36"/>
          <w:szCs w:val="36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start="-483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כתב אישום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bookmarkStart w:id="10" w:name="ABSTRACT_START"/>
      <w:bookmarkEnd w:id="10"/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הנאשמים הודו בעובדות כתב האישום המתוקן והורשעו בעבירות כמפורט להלן</w:t>
      </w:r>
      <w:r>
        <w:rPr>
          <w:rFonts w:eastAsia="Times New Roman"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אישום ראשון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עבירת התפרעות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לפי </w:t>
      </w:r>
      <w:hyperlink r:id="rId22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152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</w:t>
      </w:r>
      <w:hyperlink r:id="rId23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תשל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b/>
          <w:bCs/>
          <w:sz w:val="24"/>
          <w:szCs w:val="24"/>
        </w:rPr>
        <w:t>1977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הפרעה לשוטר בנסיבות מחמירות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לפי </w:t>
      </w:r>
      <w:hyperlink r:id="rId24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275</w:t>
        </w:r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לחוק העונשין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ומעשי פזיזות ורשלנות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לפי </w:t>
      </w:r>
      <w:hyperlink r:id="rId25"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338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</w:rPr>
          <w:t>3</w:t>
        </w:r>
        <w:r>
          <w:rPr>
            <w:rStyle w:val="Hyperlink"/>
            <w:rFonts w:eastAsia="Times New Roman" w:cs="David" w:ascii="David" w:hAnsi="David"/>
            <w:b/>
            <w:bCs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לחוק העונשין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-58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הורשע בביצוע עבירות היזקים מיוחדים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6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453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1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 ברכב ללא 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8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413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ג</w:t>
        </w:r>
      </w:hyperlink>
      <w:r>
        <w:rPr>
          <w:rFonts w:ascii="David" w:hAnsi="David"/>
          <w:b/>
          <w:b/>
          <w:bCs/>
          <w:rtl w:val="true"/>
        </w:rPr>
        <w:t xml:space="preserve"> רישא 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9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338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1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0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448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רישא 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והיזק בזדון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1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452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-58" w:end="0"/>
        <w:jc w:val="both"/>
        <w:rPr>
          <w:rFonts w:ascii="David" w:hAnsi="David" w:cs="David"/>
        </w:rPr>
      </w:pPr>
      <w:bookmarkStart w:id="11" w:name="ABSTRACT_END"/>
      <w:bookmarkEnd w:id="11"/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הורשע בביצוע עבירת 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2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448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רישא ל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ותקיפה 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4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379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הורשע בביצוע עבירות יידוי או ירי של אבן או חפץ אחר לעבר כלי 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5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332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7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384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-58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Fonts w:ascii="David" w:hAnsi="David"/>
          <w:u w:val="single"/>
          <w:rtl w:val="true"/>
        </w:rPr>
        <w:t>אישום 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עבירות ניסיון 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8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448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סיפא </w:t>
      </w:r>
      <w:hyperlink r:id="rId39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b/>
            <w:bCs/>
          </w:rPr>
          <w:t>25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ייצור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</w:t>
      </w:r>
      <w:r>
        <w:rPr>
          <w:rFonts w:ascii="David" w:hAnsi="David"/>
          <w:b/>
          <w:b/>
          <w:bCs/>
          <w:rtl w:val="true"/>
        </w:rPr>
        <w:t xml:space="preserve">סעיף </w:t>
      </w:r>
      <w:hyperlink r:id="rId41"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</w:rPr>
          <w:t>2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2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152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 במסגרת אישום זה אף בביצוע עבירות יידוי או ירי של אבן או חפץ אחר לעבר כלי 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3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332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ועבירות חבלה במזיד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5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413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ה</w:t>
        </w:r>
      </w:hyperlink>
      <w:r>
        <w:rPr>
          <w:rFonts w:ascii="David" w:hAnsi="David"/>
          <w:b/>
          <w:b/>
          <w:bCs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אישום שלישי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בביצוע עבירות 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6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152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/>
          <w:rtl w:val="true"/>
        </w:rPr>
        <w:t>חבלה במזיד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8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413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ה</w:t>
        </w:r>
      </w:hyperlink>
      <w:r>
        <w:rPr>
          <w:rFonts w:ascii="David" w:hAnsi="David"/>
          <w:b/>
          <w:b/>
          <w:bCs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מכתב האישום המתוקן עולה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רקע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11.01.22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14.01.22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עבודות נטיעה של עצים שבוצעו במקומות שונים בנגב על ידי הקרן הקיימת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התפתחו הפרות סדר רבות והפגנות אלימות ברחבי הנגב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ובין היתר ביישוב שגב שלום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הפרות הסדר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במהלך הפרות 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במועדים ובמוקדים שיפורטו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מתפרעים רבים הציתו צמיגים ופחים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 אבנים לעבר שוטרים וניידות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 אבנים ובקבוקי תבערה לעבר נקודת המשטרה בשגב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ירו פצצות תאורה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חסמו צירי תנועה ועוד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במהלך הפרות הסדר נפצע שוטר כתוצאה מירי זיקוק ונגרם נזק לרכב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נגרם נזק רב לרכוש השייך למועצת שגב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נתלשו מצלמות אבטחה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נשרפו עמודי תאורה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פחי אשפה ומתקנים של קרטונים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נשברו עצים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אישום ראשון 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11.01.22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התרחשו הפרות סדר המוניות לאורך הציר המוביל מהכניסה לשגב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כולל בצומת שגב שלום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הצומת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והנאשמים הגיעו לצומת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רעולי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להשתתף בהפרות הסדר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בהגיעם לצומת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 עם מתפרעים רבים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הבעירו הנאשמים צמיגים והשליכו אותם לעבר כוחות המשטרה ששהו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במטרה ליצור מיסוך עשן ולהפריע לשוטרים לזהות את 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יידו אבנים וצמיגים בוערים לעבר השוטרים וניידות המשטרה וגרמו נזק לניידות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הגיע לצומת כשהוא מצויד בשלוש פצצות תאורה או דבר דומה לכך שבכוחן להזיק לאדם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הפעיל אחד מהן בקרבת השוטרים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זיקוקים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בשלב מסוים במהלך הפרות 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במרחק קצר מהצומת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בסיוע של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טיפס על עמוד עליו הייתה מותקנת מצלמת אבטחה השייכת למועצת שגב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וחתך את הכבלים של המצלמה על מנת למנוע תיעוד של מעשי המתפרעים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כוחות המשטרה הפעילו אמצעים לפיזור ההמון כלפי 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מכך הנאשמים ומתפרעים נוספים החליטו לעזוב את הצומת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במקביל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כתב עיתון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הארץ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הגיע לשגב שלום ברכבו מסוג טויוטה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על מנת לסקר את אירועי הפרות הסדר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משהבחין המתלונן במתפרעים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וביניהם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שהלכו באותה העת בכביש בשגב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האט את מהירות נסיעתו וניסה לשוחח עמם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אף עצר את רכבו לידם והציג בפניהם את תעודת העיתונאי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המתפרעים צעקו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יהודי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יהודי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ויידו אבנים לעבר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במעמד זה גם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יידה אבן ממרחק קצר של כחמישה מטרים לעבר המתלונן שישב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 פגעה בחלון הקדמי של הרכב שהיה פתוח חלקית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שברה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ונפלה בין המושבים הקדמיים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המתלונן במנוסה בנסיעה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וביניהם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רדפו אחריו רגלית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כאשר המתלונן הגיע לרחבה שליד מכולת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אבו אלקיעאן</w:t>
      </w:r>
      <w:r>
        <w:rPr>
          <w:rFonts w:cs="David" w:ascii="David" w:hAnsi="David"/>
          <w:rtl w:val="true"/>
        </w:rPr>
        <w:t xml:space="preserve">'" </w:t>
      </w:r>
      <w:r>
        <w:rPr>
          <w:rFonts w:ascii="David" w:hAnsi="David"/>
          <w:rtl w:val="true"/>
        </w:rPr>
        <w:t>בשגב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יצא מהרכב והחל לצעוק לעבר המתפרעים הרבים שהתקרבו אליו שהוא עיתונאי ולא 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במעמד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 אל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 פעמיים בגופו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הדף אותו לאחור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 מהמתפרעים החלו לזרוק אבנים לעבר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אזּרחים שהיו במקום סייעו למתלונן להיכנס למכולת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שהה שם עד שחולץ על ידי כוחות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 אל הרכב שנותר עומד מונע מול המכולת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ונסע בו במהירות ובפראות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בלימה פתאומית והשמעת קולות חריקה בשטח שליד המכולת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חצה ברכב את המדרכה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 אל הכביש וחצה את הנתיב הימני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בכיכר בניגוד לכוון התנועה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למרות שכלי רכב נוספים נסעו 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המשיך בנסיעה עד שעצר את הרכב במרחק קצר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ויצא מהרכב תוך שנטל ממנו את המחשב הנייד והטלפון הנייד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ובסמוך לאחר מכן שבר אותם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 מהרכב את ארנקו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ובו כסף מזומן בסך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וכן כרטיסים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שהוציא ממנו את הכסף – זרק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 לעבר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כוון את אחד הזיקוקים שהיו ברשותו דרך החלון הקדמי הימני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ושילח בו אש בכך שהפעיל את הזיקוק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התלקח והחל לבעור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המתפרעים שנכחו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וביניהם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המשיכו לזרוק אבנים על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וחלק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הכניסו קרשים וענפי עץ לתוך האש שבערה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מהמתואר הרכב נשרף כליל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 דקות לאחר שהרכב החל לבעור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ובעודו עולה באש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הכניס אף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קרש לתוך הרכב שהמשיך לבעור עוד פרק זמן לאחר מכן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אי</w:t>
      </w:r>
      <w:r>
        <w:rPr>
          <w:rFonts w:ascii="David" w:hAnsi="David"/>
          <w:b/>
          <w:b/>
          <w:bCs/>
          <w:rtl w:val="true"/>
        </w:rPr>
        <w:t xml:space="preserve">שום שני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12.01.22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התרחשו אירוע הפרות סדר במספר מוקדים בשגב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בקרבת נקודת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הפרות 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מתפרעים רעולי הפנים יידו אבנים לעבר השוטרים ואל נקודת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הבעירו והשליכו צמיגים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חסמו צירים וכדומה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במועד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הגיעו הנאשמים למגרש הכדורגל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אלחרוב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הסמוך לנקודת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הכינו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שהם כלי נשק מאולתרים המסוגלים להזיק לאדם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שמילאו בקבוקי זכוכית בבנזין ותחבו לתוכם חתיכות 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בקבוקי התבערה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ואחרים ניגשו לנקודת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שבאותה העת לא הייתה מאוישת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ושם הציתו את בקבוקי התבערה והשליכו אותם לעבר נקודת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להציתה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בקבוקי התבערה לא פגעו בנקודת המשטרה ולא התפוצצו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מבקבוקי התבערה פגע במחסן המועצה הסמוך לנקודת המשטרה והתלקח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האש לא התפשטה וכבתה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עזבו הנאשמים את המקום והגיעו ברגל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כיכר הספורט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בכביש הראשי של שגב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רעולי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ושהו שם יחד עם מתפרעים רבים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כלי רכב משטרתיים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ביניהם רכב משטרתי מזוהה מסוג סוואנה ובו מספר שוטרים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רכב הסוואנה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וכן רכב מסוג טויוטה בו נהג השוטר מיכאל צרנישב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רכב הטויוטה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נסעו בכביש במהירות של </w:t>
      </w:r>
      <w:r>
        <w:rPr>
          <w:rFonts w:cs="David" w:ascii="David" w:hAnsi="David"/>
        </w:rPr>
        <w:t>40-50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כשהם בפעילות מבצעית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במעמד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ומתפרעים נוספים יידו אבנים מהמדרכות הסמוכות לכביש לעבר רכב הסוואנה והשוטרים שנסעו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ממרחק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וגרמו לו לנזק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נזק לשמשה הקדמית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מיידוי האבנים נגרם נזק אף לפח של רכב הטויוטה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והשמשה הקדמית שלו התנפצה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שנסעו ברכב משטרתי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רכב הסוואנה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הבחינו במעשיהם של 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יצאו מרכבם כשהם חובשים כובעי זיהוי משטרתיים על ראשם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רצו אל הנאשמים וצעקו לעברם שהם עצורים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החלו להימלט רגלית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ונעצרו על ידי השוטרים אחרי מרדף קצר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אישום שלישי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לנאשם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בלבד</w:t>
      </w:r>
      <w:r>
        <w:rPr>
          <w:rFonts w:cs="David" w:ascii="David" w:hAnsi="David"/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13.01.22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מתפרעים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וביניהם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 נקודת המשטרה בשגב שלום ויידו לעברה אבנים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הגיעו שוטרים בניידות משטרה לאזור נקודת המשטרה – המתפרעים הבעירו צמיגים ויידו אבנים לעבר הניידות ופגעו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כוחות המשטרה נאלצו להפעיל כנגד המתפרעים אמצעים לפיזור הפגנות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להשתמש ברימוני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 ספוג וטילי גז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כך המתפרעים נמלטו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-483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start="-483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start="-483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start="-483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הסדר הטיעון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ביום </w:t>
      </w:r>
      <w:r>
        <w:rPr>
          <w:rFonts w:eastAsia="Times New Roman" w:cs="David" w:ascii="David" w:hAnsi="David"/>
          <w:sz w:val="24"/>
          <w:szCs w:val="24"/>
        </w:rPr>
        <w:t>23.01.23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הוצג הסדר טיעון במסגרתו חזרו בהם הנאשמים מכפירתם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הודו בכתב האישום המתוקן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והוסכם כי 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יורשעו בהתאם למפורט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באשר לנאשמים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הוסכם כי יוגשו דיסקים ויטענו טיעונים משפטיים לאחריהם יכריע בית המשפט את דינם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 ההסדר לא הוצגו הסכמות לעניין העונש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ובשים לב לגילם – הופנו הנאשמים לקבלת 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-418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start="-418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הכרעות הדין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ביום </w:t>
      </w:r>
      <w:r>
        <w:rPr>
          <w:rFonts w:eastAsia="Times New Roman" w:cs="David" w:ascii="David" w:hAnsi="David"/>
          <w:sz w:val="24"/>
          <w:szCs w:val="24"/>
        </w:rPr>
        <w:t>23.01.23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הנאשמים </w:t>
      </w:r>
      <w:r>
        <w:rPr>
          <w:rFonts w:eastAsia="Times New Roman" w:cs="David" w:ascii="David" w:hAnsi="David"/>
          <w:sz w:val="24"/>
          <w:szCs w:val="24"/>
        </w:rPr>
        <w:t>2-3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הודו בעובדות כתב האישום המתוקן והורשעו בעבירות שיוחסו להם בכתב האישום המתוקן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נאשמים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אף שהודו בעובדות כתב האישום המתוקן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כאמור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העלו טענות משפטיות לגבי חלק מהעבירות שיוחסו להם בכתב האישום – באם העובדות מקימות את הוראות החיקוק בעבירות הרלוונטיות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ביחס לעבירת ההצתה שבאישום הראשון ונאשם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לעבירת יידוי אבן לעבר כלי תחבורה שבאישום השני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וביום </w:t>
      </w:r>
      <w:r>
        <w:rPr>
          <w:rFonts w:eastAsia="Times New Roman" w:cs="David" w:ascii="David" w:hAnsi="David"/>
          <w:sz w:val="24"/>
          <w:szCs w:val="24"/>
        </w:rPr>
        <w:t>16.05.23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ניתנה הכרעת דין נפרדת ומנומקת לפיה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הנאשמים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הורשעו בכל העבירות שיוחסו להם בכתב האישום המתוקן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start="-483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הנאשמים כולם היו מתחת לגיל </w:t>
      </w:r>
      <w:r>
        <w:rPr>
          <w:rFonts w:eastAsia="Times New Roman" w:cs="David" w:ascii="David" w:hAnsi="David"/>
          <w:sz w:val="24"/>
          <w:szCs w:val="24"/>
        </w:rPr>
        <w:t>21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בעת ביצוע העבירות ועל כן הופנו לקבלת תסקיר בטרם טיעון לעונש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תסקיר בעניינו של 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מיום </w:t>
      </w:r>
      <w:r>
        <w:rPr>
          <w:rFonts w:eastAsia="Times New Roman" w:cs="David" w:ascii="David" w:hAnsi="David"/>
          <w:sz w:val="24"/>
          <w:szCs w:val="24"/>
        </w:rPr>
        <w:t>16.04.23</w:t>
      </w:r>
      <w:r>
        <w:rPr>
          <w:rFonts w:eastAsia="Times New Roman" w:cs="David" w:ascii="David" w:hAnsi="David"/>
          <w:sz w:val="24"/>
          <w:szCs w:val="24"/>
          <w:rtl w:val="true"/>
        </w:rPr>
        <w:t>)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יליד </w:t>
      </w:r>
      <w:r>
        <w:rPr>
          <w:rFonts w:eastAsia="Times New Roman" w:cs="David" w:ascii="David" w:hAnsi="David"/>
          <w:sz w:val="24"/>
          <w:szCs w:val="24"/>
        </w:rPr>
        <w:t>2002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נעדר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סיים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לימוד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 תעודת בגרות חלקית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גדל בסביבה מורכבת המתאפיינת בחוסר ביטחון וחוסר שייכות שגרמו לו לחסכים שהקשו עליו לפתח וויסות רגשי ושליטה על דחפים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כתוצאה מכך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יצר קשרים חברתיים שוליים אחריהם נגרר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כדי לחוות שייכות וקבלה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עוד שירות המבחן ציין כי בהמשך 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פנה לצריכת סמים כדרך להקהיה רגשית וכאמצעי חברתי לסיפוק תחושת בטחון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לכתב האישום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מסר כי ראה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אינסטגרם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פרסום על ההפגנות ושלח הודעה על כך לחבריו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השותפים הנוספים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כדי לעודד אותם להצטרף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אינו תופס את מעשיו כחריגים ואינו מכיר בתוצאותיהם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תאר כי שיקול דעתו באירוע לא היה תקין בשל שימוש בסמים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שיתף כי משתמש באופן אינטנסיבי ויומיומי בסם מסוג קנאביס אך שלל צורך לטיפול ייעודי בתחום הסמים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בשים לב לחומרת העבירות והתייחסותו אליהן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המבחן לא בא בהמלצה שיקומית בעניינו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תסקיר בעניינו של 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מיום </w:t>
      </w:r>
      <w:r>
        <w:rPr>
          <w:rFonts w:eastAsia="Times New Roman" w:cs="David" w:ascii="David" w:hAnsi="David"/>
          <w:sz w:val="24"/>
          <w:szCs w:val="24"/>
        </w:rPr>
        <w:t>04.04.23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יליד </w:t>
      </w:r>
      <w:r>
        <w:rPr>
          <w:rFonts w:eastAsia="Times New Roman" w:cs="David" w:ascii="David" w:hAnsi="David"/>
          <w:sz w:val="24"/>
          <w:szCs w:val="24"/>
        </w:rPr>
        <w:t>2002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נעדר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סיים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לימוד ללא תעודת בגרות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שירות מבחן התרשם כי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גדל במשפחה נורמטיבית ועובר למעצרו שמר על יציבות תעסוקתית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לקשר עם יתר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ציין כי הוא קרוב משפחה של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אותו מכיר באופן שטחי ובנוגע ליתר הנאשמים ציין כי מדובר בחברים של 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אותם לא הכיר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לכתב האישום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לקח אחריות באופן מלא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לדבריו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נקלע לסיטואציה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 תכנן להגיע לשם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מסר לשירות 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אכן הכה את המתלונן והודה שהצית רכב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ידע להסביר מדוע עשה זאת ומבחינתו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הדבר נעשה בטעות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שירות המבחן הצביע על הפער בין תיאור אורח חייו ותיאור הרקע בו גדל ובין חומרת העבירות המיוחסות לנאשם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שיתף מה הסיבה להפרות הסדר כמו 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מיעט לשתף על תחושותיו כלפיי המדינה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למרות שהציג עצמו כמי שאוהב את המדינה ומכבד את החוק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שירות המבחן התרשם כי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הפנים את חומרת העבירות והשלכותיהן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גילה אמפתיה כלפיי המתלונן וכאמור לקח אחריות חלקית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שירות המבחן התרשם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לנאשם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אישיות נגררת המנהל קשרים חברתיים שוליים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המשפיעים עליו לרעה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הציג עצמו כקורבן ונתן תשומת לב מועטה להתנהגותו האלימה תוך שלא ביטא רצון או נזקקות לטיפול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שירות מבחן העריך כי קיים סיכון להתנהגות עוברת חוק בעתיד והמליץ על הטלת מאסר בפועל תוך התחשבות בגילו הצעיר ובפרק הזמן בו עצור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תסקיר בעניינו של 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מיום </w:t>
      </w:r>
      <w:r>
        <w:rPr>
          <w:rFonts w:eastAsia="Times New Roman" w:cs="David" w:ascii="David" w:hAnsi="David"/>
          <w:sz w:val="24"/>
          <w:szCs w:val="24"/>
        </w:rPr>
        <w:t>16.04.23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יליד </w:t>
      </w:r>
      <w:r>
        <w:rPr>
          <w:rFonts w:eastAsia="Times New Roman" w:cs="David" w:ascii="David" w:hAnsi="David"/>
          <w:sz w:val="24"/>
          <w:szCs w:val="24"/>
        </w:rPr>
        <w:t>2003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נעדר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שירות המבחן פירט כי 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גדל במציאות משפחתית מורכבת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ללא מערכת תמיכה משמעותית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על רקע היות אביו אסיר בטחוני שלאחר ריצוי מאסרו הועבר לעזה בשנת </w:t>
      </w:r>
      <w:r>
        <w:rPr>
          <w:rFonts w:eastAsia="Times New Roman" w:cs="David" w:ascii="David" w:hAnsi="David"/>
          <w:sz w:val="24"/>
          <w:szCs w:val="24"/>
        </w:rPr>
        <w:t>2006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נשר מלימודיו בכיתה 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כדי לסייע בפרנסת הבית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שיתף כי מתגורר בסביבה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בעייתית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המשפיעה על קשריו החברתיים השוליים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לכתב האישום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מסר כי שמע מחבר שישנה הפגנה והחליט ללכת לאזור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שיתף כי מנקודת מבטו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נקלע לסיטואציה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 התכוון לפגוע באיש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לעניין מפגשו עם המתלונן תאר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שמע שבכוונתו לדרוס את הנמצאים באזור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לכן התרחק והחליט ליידות אבנים על הרכב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שירות המבחן התרשם כי למרות שהנאשם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גינה שימוש באלימות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בחירתו להשתתף בהפגנה ללא הבנה מה תהיה ההשלכה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העניקה לו תחושת שייכות וערך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מיעט לשתף את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ככל הנראה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מפאת חוסר אמון בגורמי הממסד בעיקר סביב היעדרות אביו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בתפיסותיו ועמדותיו הנאשם שלל התמכרות לסם או צורך בטיפול ייעודי בתחום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אף תיאורו כי בעת ביצוע העבירות היה תחת השפעת סם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בשל חומרת העבירות בהן מואשם 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והתייחסותו אליהן שירות מבחן לא בא בהמלצה שיקומית בעניינו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תסקיר בעניינו של נאשם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19.07.23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2002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נשר לאחר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לטובת סיוע בפרנסת 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תאר את נסיבות חייו הקשות של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והעובדה כי גדל במשפחה קשת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המצויה במצב כלכלי וחברתי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אירוע אשר היווה נקודת מפנה בחיי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מות אימו לפני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בעקבותיו החלה הדרדרות במצבו הרגשי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עניין אשר גרם לו לעשות שימוש בחומרים משני תודעה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שאביו נישא בשנית הנאשם בילה רוב זמנו מחוץ לבית ואביו לא היה מעורב בחייו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תאר קשר חברי קרוב בינו ובין השותפים לתיק וכי נגרר אחר חבריו אשר השפיעו על שיקול דעתו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התרשם כי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מכיר בטעותו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שלל מניע לאומני או גזעני וגילה צער וחרטה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אין המדובר באדם בעל דפוסים אלימים מושרשים ולא מחזיק בעמדות הנותנות לגיטימציה לשימוש באלימות וכי הרקע לעבירות הוא חוסר בשלות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נגררות וקושי בשיקול דעת שמתעצמים במצבים חברתיים או פוליטיים מורכבים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מסיכון להישנות העבירות ומשכך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ראה צורך בהטלת עונש מרתיע ומחדד גבולות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באם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יביע נזקקות טיפולית בהמשך – יוכל להשתלב בהליך טיפולי במסגרת בית הכלא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-483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טיעונים לעונש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ראיות לעונש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המתלונן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כתב עיתון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הארץ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בדרום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שיתף כי מזה שנה וחצי מסקר את האזור בכלל והחברה הבדואית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בפרט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אף שהמתלונן אינו מקל במעשה החמור שנעשה כלפיו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ביקש להקל בעונש כמה שניתן מאחר ורואה בנאשמים קורבנות החברה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המתלונן הפנה בעדותו לכך שכל חברה הסובלת מאפליה ועוני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במקרה של מתח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יהיה מי שישתמש באלימות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המתלונן העיד כי בשום רגע לא הרגיש בסכנת חיים וכן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המכות שקיבל היו חלשות של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הדיפה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 כדי לגרום חבלות קשות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המתלונן שיתף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האירוע עצמו עבר די מהר לאחריו חש מעט נסער אך לא סבל מטראומה ולא נזקק לטיפול על אף שהוצע לו טיפול מטעם העיתון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המתלונן הצביע על הנזק העיקרי שנגרם לו – נזיקי בעקרו – המחשב הנייד שלא היה מגובה ושני מכשירי טלפון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שנהרסו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-483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עתרה לקביעת מתחם עונש נפרד לכל 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בטיעוניה הפנתה לחומרת העבירות בהן הודו הנאשמים אשר בחרו לפעול באלימות קשה נגד אזרחים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שוטרים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תשתיות וסמלי שלטון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עניין המהווה פגיעה עצומה בערכים המוגנים ובהם שלטון החוק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תחושת ביטחון לאזרחים במרחב הציבורי תוך פגיעה גם במרקם היחסים העדין בין האוכלוסיות השונות בארץ ובנגב בפרט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כל זאת כחצי שנה בלבד לאחר מבצע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שומר החומות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ממנה מדינת ישראל עדיין מתאוששת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הדגישה כי העבירות כולן היו מתוכננות מראש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השתתפות הנאשמים בהפרות הסדר ההמוניות בוצעו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לעיני כל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ללא מורא וכללו 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הבערת צמיגים ויידוי אבנים שהושלכו לכיוון כוחות הביטחון על מנת ליצור מיסוך עשן אשר יפריע בזיהוי המתפרעים תוך גרימת נזקים לתשתיות כבישים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הוסיפה המאשימה וטענה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ניתן לראות במעשים אלה הסתה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דרבון ושלהוב יצרים של הנוכחים במקום להמשיך להתפרע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הפנתה המאשימה לפוטנציאל הנזק העצום במעשי הנאשמים אשר יכלו לפצוע ואף להרוג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המאשימה תארה את האירועים תוך התייחסות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לחלקו של כל נאשם באירועים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המפורטים בכתב האישום המתוקן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המאשימה הפנתה לאירועים המתוארים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באישום הראשון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בהם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הגיע חמוש בזיקוקים לצומת וירה לכיוון השוטרים ולתוך רכבו של המתלונן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שהשחית מצלמת אבטחה ולמעשה פגע פגיעה כפולה הן בשלטון החוק במובן של תחושת הביטחון ומשילות והן בגורמי האכיפה וביכולתם להגיע למבצעי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הפנתה גם לתקיפתו האלימה של המתלונן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שהתרחשה במקביל לאירועים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כאשר היה ברור שמדובר באזרח ולא בשוטר וכל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חטאו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היה שזוהה על ידי הנאשמים כיהודי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יידה אבן לכיוון רכבו של המתלונן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האבן נפצה את חלון הרכב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חדרה לתוכו וגרמה סיכון עצום למתלונן באם הייתה פוגעת בו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המאשימה תארה את אירוע המרדף אחר המתלונן למכולת אשר ביטא מסכת אלימות ובריונות כנגד המתלונן במהלכו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תקף את המתלונן באופן אלים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בעט בו במרכז הגוף והדפו לאחור ורק בזכות אנשים טובים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האלימות כלפי המתלונן הופסקה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עוד המאשימה תארה כיצד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לקח את רכבו של המתלונן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נהג בו בפראות תוך שגרם סיכון לא מבוטל לסובבים שנכחו במקום באם היה מאבד שליטה על הרכב ולאחר מכן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אף שבר את מחשבו ומכשיר הטלפון של המתלונן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גנב למתלונן את הארנק בזמן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שנאשמים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-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ועוד מעורבים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ממשיכים בהתפרעויות ובין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מציתים את רכבו של המתלונן כאשר כל האירועים הללו מתרחשים בטבורה של עיר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לעיני כל בעוד הנאשמים ומעורבים אחרים מסתובבים בתחושה מעוותת של גבריות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בהשלמת טיעוניה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המאשימה הצביעה על חלקו של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בהתפרעויות המתוארות באישום הראשון ועל החומרה המתלווה להן שעה ש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היה מודע למתרחש סביבו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יכל להפסיק השתתפותו באירועים אך המשיך ליטול חלק פעיל ומתמשך במסכת העבירות החמורה שהתבטאה בין היתר בהתפרעות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הבערת צמיגים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יידוי אבנים לעבר כוחות משטרה ומאוחר יותר גם לעבר רכבו של המתלונן וגרימת נזקים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המאשימה הפנתה לאירועי התפרעות אשר נמשכו לילה נוסף המתואר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באישום השני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בהם תכננו הנאשמים לפגוע בתחנת המשטרה בשגב שלום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לשם כך הנאשמים הכינו בקבוקי תבערה המשמשים כנשק ולאחר מכן הצטרפו להתפרעות אשר כללה יידוי אבנים לעבר שוטרים והשלכת בקבוקי תבערה שהוצתו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 בדרך נס לא התפוצצו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שבה והדגישה את פוטנציאל הנזק העצום שהיה יכול להיגרם כמו גם את הפגיעה בערכים המוגנים וביניהם סמל השלטון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משילות וביטחון ציבורי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באירוע זה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הנאשמים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–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הבחינו ברכב משטרה ויידו לעברו אבנים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עניין שגרם לרכב נזק ובהמשך אף ניסו להימלט אך נעצרו במקום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 כאן הצביעה המאשימה על פוטנציאל נזק חמור בידויי אבנים לעבר רכב נוסע וחומרת העבירה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בהשלמת טיעוניה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המאשימה הצביעה על חלקו של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בעבירות המתוארות באישום השני אשר גם הוא אירוע מתמשך בו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לקח חלק פעיל ובין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הכין בקבוקי תבערה והשליכם לעבר תחנת משטרה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הגם שבקבוקי התבערה לא התפוצצו אין להתעלם מפוטנציאל הנזק הגדול הטמון בניסיון הצתת תחנת המשטרה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באישום השלישי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תואר לילה נוסף של התפרעות ובין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יידוי אבנים לעבר כוחות משטרה ובהם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שוטרים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ניידות ותחנת משטרה בה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לקח חלק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הפנתה לפסיקה ומדיניות ענישה נוהגת במקרים דומים תוך הדגשת נקיטת מדיניות מחמירה בעבירות דנן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הפנתה המאשימה לריבוי העבירות שנעשו על ידי הנאשמים והיות עבירת ההצתה חמורה ביותר לגביה הפסיקה קוראת לנהוג בחומרה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משכך עתרה המאשימה למתחמי ענישה כדלקמן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באישום הראשון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לעניין לנאשם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שביצע עבירות רבות ביחס ליתר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בין </w:t>
      </w:r>
      <w:r>
        <w:rPr>
          <w:rFonts w:eastAsia="Times New Roman" w:cs="David" w:ascii="David" w:hAnsi="David"/>
          <w:sz w:val="24"/>
          <w:szCs w:val="24"/>
        </w:rPr>
        <w:t>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– </w:t>
      </w:r>
      <w:r>
        <w:rPr>
          <w:rFonts w:eastAsia="Times New Roman" w:cs="David" w:ascii="David" w:hAnsi="David"/>
          <w:sz w:val="24"/>
          <w:szCs w:val="24"/>
        </w:rPr>
        <w:t>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לנאשמים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–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בין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– 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שנות מאסר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בין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–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באישום השני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לנאשמים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–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בין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– </w:t>
      </w:r>
      <w:r>
        <w:rPr>
          <w:rFonts w:eastAsia="Times New Roman" w:cs="David" w:ascii="David" w:hAnsi="David"/>
          <w:sz w:val="24"/>
          <w:szCs w:val="24"/>
        </w:rPr>
        <w:t>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שנות מאסר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לנאשמים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–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בין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– 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ובאישום השלישי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לנאשם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בלבד בין שנה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באשר לקביעת עונשם של הנאשמים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התייחסה למתואר בתסקירים והפנתה לכך שמדובר בנאשמים צעירים נעדרי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ביחס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הדגישה כי התייחסותו לעבירות הייתה מצמצמת ובקושי היה ניתן להתרשם ממנו ומשכך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שירות המבחן לא בא בהמלצה שיקומית בעניינו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ביחס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הפנתה לסתירה בין התייחסותו לעבירות ובין המתואר בכתב האישום המתוקן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הפנתה המאשימה לכך שלקח אחריות חלקית על 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היה ממוקד במחירים שהוא משלם מבלי לגלות אמפתיה כלפיי המתלונן ומשכך לא עלתה המלצה שיקומית בעניינו והומלץ על הטלת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ביחס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הצביעה על הסתירה בין התייחסותו לעבירות ובין המפורט בכתב האישום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המעיד על חוסר לקיחת אחריות מוחלט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גם גינויי האלימות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מצדו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נחוו מבחינת המאשימה כדברים שנאמרו מהפה לחוץ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המאשימה הצביעה על כך שגם בעניינו שירות המבחן לא בא בהמלצה שיקומית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ביחס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ערה לנסיבותיו האישיות אך גורסת כי אלה נסוגות מפני האינטרס הציבורי להרתיע ולהעניש בחומרה את המבצעים עבירות חמורות מעין אלה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המאשימה הצביעה על כך שמדובר במסכת עבירות חמורה שהתרחשה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לילות אך הנאשם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עשה דבר להפסיק השתתפותו הפעילה בהן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המאשימה הצביעה על הסתירה שבין הודאתו בעובדות כתב אישום המתוקן ובין התייחסותו לעבירות כפי שעולה מהתסקיר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המאשימה התייחסה לעדות המתלונן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וסברה כי אין לתת לעדותו המקלה משקל בגזירת העונש שכן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עמדתו האישית עומדת בסתירה לעובדות והסרטונים המצביעים על חומרה יתרה של עבירות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משכך המאשימה עתרה להשתת העונשים הבאים על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הטלת </w:t>
      </w:r>
      <w:r>
        <w:rPr>
          <w:rFonts w:eastAsia="Times New Roman" w:cs="David" w:ascii="David" w:hAnsi="David"/>
          <w:sz w:val="24"/>
          <w:szCs w:val="24"/>
        </w:rPr>
        <w:t>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נאשמים </w:t>
      </w:r>
      <w:r>
        <w:rPr>
          <w:rFonts w:eastAsia="Times New Roman" w:cs="David" w:ascii="David" w:hAnsi="David"/>
          <w:sz w:val="24"/>
          <w:szCs w:val="24"/>
        </w:rPr>
        <w:t>2-3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הטלת 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הטלת </w:t>
      </w:r>
      <w:r>
        <w:rPr>
          <w:rFonts w:eastAsia="Times New Roman" w:cs="David" w:ascii="David" w:hAnsi="David"/>
          <w:sz w:val="24"/>
          <w:szCs w:val="24"/>
        </w:rPr>
        <w:t>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 עתרה המאשימה להטלת עונשים נלווים לנאשמים לצד המאסר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בדמות מאסר מותנה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פיצוי למתלונן וקנס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עתר לקבוע מתחם עונש הולם אחד לכלל האישומים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זאת לאור סמיכות הזמנים בין האירועים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מתחם הנע בין </w:t>
      </w:r>
      <w:r>
        <w:rPr>
          <w:rFonts w:eastAsia="Times New Roman" w:cs="David" w:ascii="David" w:hAnsi="David"/>
          <w:sz w:val="24"/>
          <w:szCs w:val="24"/>
        </w:rPr>
        <w:t>10-20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לנסיבות ביצוע העבירות טען כי אלה מצויים ברף חומרה נמוך שכן האירועים היו ספונטניים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קדם להם תכנון מוקדם מלבד הגעת הנאשמים רעולי פנים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לגבי האישום הראשון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כי הגעתו לצומת ויידוי האבנים היו מכח השותפות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ניתוק וחיתוך כבל המצלמה הינם ברף הנמוך ובנוגע לשימוש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ברכבו של המתלונן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עסקינן בשימוש רגעי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ביחס לעבירת ההצתה שבסופו של יום יוחסה לנאשם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טען כי אין מחלוקת שגם אם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היה זורק את הקרש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הרכב היה נשרף כליל – מאחר והנאשם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היה זה ששילח את האש ברכב לכתחילה ומשכך גם עבירת ההצתה היא ברף הנמוך של עבירות ההצתה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לאישום השני והשלישי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המפורט בכתב האישום המתוקן מדבר בעד עצמו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הכנת בקבוקי התבערה לא הייתה למטרת פגיעה בחיי אדם אלא לפגוע בתחנת משטרה שידוע שהייתה ריקה מאנשים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ולעניין חבלה במזיד ברכב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עבירה זו בוצעה מכח דיני השותפות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ביקש להדגיש את הרקע לביצוע העבירות – היגררות אחרי אחרים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הפנה לנסיבות שאינן נעוצות בעבירה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לכך שעסקינן בצעיר בן </w:t>
      </w:r>
      <w:r>
        <w:rPr>
          <w:rFonts w:eastAsia="Times New Roman" w:cs="David" w:ascii="David" w:hAnsi="David"/>
          <w:sz w:val="24"/>
          <w:szCs w:val="24"/>
        </w:rPr>
        <w:t>19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נעדר עבר פלילי וזו לו הפעם הראשונה בה עצור מאחורי סורג ובריח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הפנה למפורט בתסקיר שירות המבחן אשר התרשם מצעיר נגרר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בעל חסכים חברתיים ועל כך שמעורבותו אינה מתוך מניעים אידיאולוגיים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טוען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יש ליתן דגש לאפיק שיקומי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להתחשב בגילו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הודאתו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היותו נעדר עבר פלילי והכרתו בטעות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אף סבר כי עמדת המאשימה מחטיאה למטרה שכן הכנסת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שהינו בחור צעיר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לכלא לתקופה ממושכת פוגעת בנאשם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עצמו ובחברה בכללותה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הפנה לדברי המתלונן ולכך שפוצה על ידי חברת הביטוח בנוגע לרכב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משכך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עתר למקם את 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ברף התחתון של המתחם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ביקש למסור התנצלותו על המעשים והודה בטעותו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הגיש טיעונים בכתב בהם עתר לקבוע מתחם עונש הולם אחד למעשיו של הנאשם זאת לאור יישום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מבחן הקשר ההדוק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 לנסיבות 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 הנאשם כי עובדות כתב האישום המתוקן אינן מעלות תכנון מוקדם ומתוחכם לעבירות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כשחלקו היחסי של 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בביצוען הוא מצומצם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הפנה לפסיקה הנוהגת במקרים דומים בהתאמות הנדרשות וציין כי העונש הראוי לעבירה דנן בעל מנעד רחב והכל בהתאם לנסיבות המקרה ועושה העבירה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משכך עתר לקביעת מתחם שינוע בין ימי מעצר שריצה 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מיום </w:t>
      </w:r>
      <w:r>
        <w:rPr>
          <w:rFonts w:eastAsia="Times New Roman" w:cs="David" w:ascii="David" w:hAnsi="David"/>
          <w:sz w:val="24"/>
          <w:szCs w:val="24"/>
        </w:rPr>
        <w:t>23.01.22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עד 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20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 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לגבי נסיבות שאינן קשורות בביצוע העבירה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הפנה לגילו הצעיר של הנאשם ולהיותו נעדר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שלו זו הפעם הראשונה בה נמצא מאחורי סורג ובריח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עניין המוסיף סיכון בחיבור לחברה שולית ועלול להוביל לפגיעה משמעותית בטווח הרחוק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כי יש ליתן משקל משמעותי להודאת הנאשם ולקיחת האחריות בשלב מוקדם של ההליך אשר חסך זמן שיפוטי יקר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בשים לב להיקף התיק ורשימת עדיו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בהתייחסותו לתסקיר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כי ניתן למצוא בו נקודות אור ואין מדובר בתסקיר שלילי באופן נחרץ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ציין כי שירות המבחן היה ער לכך כי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גדל במשפחה נורמטיבית שחבריה אינם מעורבים בפלילים וכן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שמר על יציבות תעסוקתית המעידים על רמת מסוכנות נמוכה זאת על אף מסקנת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הוסיף בטיעון בעל פה כי המאשימה הפנתה למדיניות חמורה יותר ובעצם מצפה מבית המשפט ליצור תקדים שאינו עולה בקנה אחד עם המדיניות הנוהגת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לעניין הנזק בפועל ופוטנציאל הנזק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הפנה לדברי המתלונן אשר חווה את האירוע ממקור ראשון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  <w:highlight w:val="yellow"/>
        </w:rPr>
      </w:pPr>
      <w:r>
        <w:rPr>
          <w:rFonts w:eastAsia="Times New Roman"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מסר בשמו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 לוקח אחריות על 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מתנצל ומבין את טעותו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בפתח דבריו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הפנה להודאת הנאשם בראשית ההליך ולעובדת היותו הצעיר בחבורה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נעדר עבר פלילי ובעל נסיבות חיים קשות אשר הובילו אותו לנשור מהלימודים בכיתה 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כדי לסייע בפרנסת משפחתו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סבר כי השתתפות 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באירועים כמו גם צעירים נוספים הייתה מאחר והמקום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רעש וגעש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ונבעה מתוך הגררות ספונטנית המאפיינת צעירים ולא מתוך מניע אידיאולוגי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הפנה לדברי המתלונן שהבין את הרקע למעשים ולכך שלא חש מאוים ושאלימות כנגדו לא הייתה קשה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לדידו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 ליתן לעמדת המתלונן מעמד בכורה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סבר כי חלקו של 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באירועים המפורטים בכתב האישום המתוקן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בו הודה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היה קטן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לגבי הפסיקה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סבר כי הפסיקה שהוגשה מטעם המאשימה קשה בהרבה ואיננה משקפת מדיניות שתתאים למקרה דנן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יחד עם זאת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 כי גם אם ייקבע המתחם לפי המדיניות שהוגשה מטעם המאשימה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עונשו של 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יעמוד על </w:t>
      </w:r>
      <w:r>
        <w:rPr>
          <w:rFonts w:eastAsia="Times New Roman" w:cs="David" w:ascii="David" w:hAnsi="David"/>
          <w:sz w:val="24"/>
          <w:szCs w:val="24"/>
        </w:rPr>
        <w:t>24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 לכל היותר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ביקש סליחה והודה בטעותו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התחיל את דבריו עם המפורט בתסקיר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שיש בכוחו להשפיע על הענישה במקרה של 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הפנה לגילו הצעיר של הנאשם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ועובדת היותו בעל נסיבות חיים מורכבות אשר גרמו לו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ללכת לאיבוד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תוך שאינו מבין את משמעות מעשיו וזאת מבלי להקל ראש בחומרת הדברים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התייחס ארוכות בטיעוניו לרקע בו גדל 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שאינו דובר עברית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ונאלץ לפרוש מלימודיו בכיתה 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ולמעשה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 הקורבן בכך שהמדינה בה גדל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לא דאגה לו על אף אחריותה כלפיו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עניין המעיד על כישלון שלנו כחברה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הפנה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לעוצמת הפער בין הרצון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ההבנה והאידיאולוגיה שמייחסים לנאשם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ובין המציאות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 עתר למתחם ספציפי או עונש אך הפנה לפסיקה במקרים אחרים שיש בהם כדי להשליך לטעמו על רמת הענישה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סיפר על כך שאימו נפטרה ואיש לא טיפל בו ולא דאג 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בכל התקופה בה נמצא במעצר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משפחתו בקרה אותו רק פעמיים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שיתף כי למד בחיים שאין אחריות ואפשר לעשות מה שרוצים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סיפר כי מאז שעזב את בית הספר הרבה להסתובב ברחוב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בחוסר מעש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ביחס לעבירות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שיתף כי הצטרפותו למעשים נבעה 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טמטום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ותלה את חוסר ההבנה בגילו הצעיר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שיתף כי כעת בכלא לא עושה דבר ואף אינו יכול לעבוד כי מסווג כאסיר ביטחוני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eastAsia="Times New Roman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firstLine="360" w:start="-766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קביעת מתחם העונש ההולם למעשה העבירה שביצע נאשם נעשית בהתאם לעקרון המנחה בענישה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קיומו של יחס הולם בין חומרת מעשה העבירה בנסיבותיו ומידת אשמו של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לשם 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לעקרון 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להתחשב בערך החברתי שנפגע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הנוהגת ובנסיבות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בטרם אגש לקביעת מתחם העונש ההולם יש לבחון האם האישומים בהם הודו הנאשמים מהווים אירוע אחד או מספר אירועים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9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29/10/14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קבע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דנציגר כי בבחינת סוגיה זו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בשלב הראשון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לצורך המענה על השאלה האם תרחיש עובדתי מסוים מהווה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אירוע אחד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כמה אירועים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בית המשפט להפעיל אך ורק את המבחן הצורני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עובדתי שפותח והשתרש בפסיקת בית משפט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כאמור לעיל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המבחן הצורני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עובדתי בוחן האם עבירות שבוצעו ברצף ובסמיכות יחסית של זמן ומקום ניתנות להפרדה או שמא מדובר במכלול אחד של פעולות שמאופיינות במחשבה פלילית אחת ובתכנון פלילי אחד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זהו מבחן לוגי של שכל ישר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אך אין ספק כי מדובר במבחן בעל אופי טכני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שמתעלם משאלות שבמהות – כגון מספר הקורבנות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הנזק שהסבה התנהגות העבריין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והאינטרסים החברתיים שנפגעו כתוצאה מהתנהגותו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סבורני כי מבחן זה תואם בדיוק את אופיו הטכני של השלב הראשון במלאכת הענישה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פסקה 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>]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ברק –ארז חזרה על עמדתו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דנציגר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לפיה המושג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רחב מהמושג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מעשה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וקבעה כי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התשובה לשאלה מהם גדרי 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תיגזר מניסיון החיים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כך שעבירות שיש ביניהן קשר הדוק ייחשבו לאירוע אחד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ברגיל קשר כזה בין עבירות יימצא כאשר תהיה ביניהן סמיכות זמנים או כאשר הן תהיינה חלק מאותה תוכנית עבריינית אף כאשר הן בוצעו לאורך תקופת זמן שאינה קצרה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ציינה כי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מבחן הקשר ההדוק בוחן את עוצמת הקשר שבין העבירות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ולא את השאלה האם הן ניתנות להפרדה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ייתכן כי עבריין יבצע מספר רב של פעולות שניתן להפריד ביניהן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ושהוא אף יכול היה לחדול לאחר ביצוע כל אחת מהן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כך שאין לראות בהן מעשה אחד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אך נכון יהיה לראות בהן חלק מתוכנית עבריינית אחת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פסקה </w:t>
      </w:r>
      <w:r>
        <w:rPr>
          <w:rFonts w:cs="David" w:ascii="David" w:hAnsi="David"/>
          <w:sz w:val="24"/>
          <w:szCs w:val="24"/>
        </w:rPr>
        <w:t>5-6</w:t>
      </w:r>
      <w:r>
        <w:rPr>
          <w:rFonts w:cs="David" w:ascii="David" w:hAnsi="David"/>
          <w:sz w:val="24"/>
          <w:szCs w:val="24"/>
          <w:rtl w:val="true"/>
        </w:rPr>
        <w:t>]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פוגלמן הצטרף לגישה זו ואף הרחיבה במעט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2375/15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נגד נס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22.02.18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התייחס בית המשפט לגישות השונות וציין כי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דרך ההבחנה בין 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אחד לאירועים נפרדים לא הוגדרה בחוק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ואכן במקרים מסוימים ניתן לראות במעשים שונים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ביחס לקורבנות שונים ובמקומות שונים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אירוע אחד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ובלבד שקיים ביניהם קשר הדוק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מאז ועד היום פעלו בתי המשפט ליישם את המבחן שקבע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לאחרונה נתגלעה מחלוקת בין שופטי בית המשפט העליון באשר לאופן יישום המבחן והשפעתו על רמת הענישה – דבר שיש בו כדי להעיד על הקושי ביישום המבחן בכל מקרה ומקרה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ראו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5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1534/23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נחמן בכר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26.07.23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דעתה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ברק ארז אל מול דעתו של כבוד השופט 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שטיין</w:t>
      </w:r>
      <w:r>
        <w:rPr>
          <w:rFonts w:cs="David" w:ascii="David" w:hAnsi="David"/>
          <w:sz w:val="24"/>
          <w:szCs w:val="24"/>
          <w:rtl w:val="true"/>
        </w:rPr>
        <w:t xml:space="preserve">]. 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במקרה שלפניי יישום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מבחן הקשר ההדוק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מוביל למסקנה כי שלושת האישומים בכתב האישום המתוקן מהווים אירוע אחד שיש לקבוע בגינו מתחם עונש הולם אחד ביחס לכל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לאור השוני בין מעשיהם של כל אחד מהנאשמים בכל אחד מהאישומים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ביחס לאישומים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שמדובר בנפגעי עבירה שונים ובעבירות שאינן זהות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לרקע הכללי הזהה בין כלל האישומים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התמשכותם יום אחר יום כפי שעולה מכתב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כשמטרת המעשים כולן היא דומה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להגדירם כמעשים שבוצעו במסגרת תכנית עבריינית אחת ולקבוע מתחם עונש הולם אחד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במקרה דנן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הערכים החברתיים המוגנים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אשר נפגעו כתוצאה ממעשיהם של הנאשמים כוללים 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שמירה על הביטחון האישי והסדר הציבורי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שלטון החוק והיכולת לאוכפו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ההגנה על זכות הקניין וכן שלומם וביטחונם של משתמשי הדרך והנהגים כמו גם השוטרים אשר מילאו תפקידם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משנה חשיבות לעובדה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הרקע לעבירות הוא נטיעת עצים בנגב על ידי הקרן הקיימת לישראל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התפתחו התפרעות המונים והפרות סדר – אלה גרמו לליבוי יצרים שגאו והגיעו לכדי ביצוע עבירות שהמכנה המשותף להן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פגיעה בסמלי שלטון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ממנו נלמדת חומרה יתרה המתווספת לעבירות אלה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להתעלם מכך שעצם ההשתתפות בהפרות סדר אלה מהוה פגיעה חמורה בערכים המוגנים שנמנו והתרסה ברורה כנגד שלטון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סמליו והאמונים על סדרו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-58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החמרת מדיניות הענישה בעבירות התפרעויות המונים נלמדת 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מפסקי דין שנתנו בעקבות התפרעויות שהתפתחו במהלך מבצע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שומר החומות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שם חזר בית המשפט העליון והדגיש את הצורך לנקוט במדיניות ענישה מרתיעה שיש בכוחה למנוע השתתפות בהתפרעויות רבות משתתפים שהסיכון הגלום בהן רב מאוד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חומרה יתרה נלמדת בעניינם של נאשמים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שהמניע לחלק ממעשיהם היה אף מניע לאומני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אידיאולוגי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עובדה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השני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b/>
          <w:b/>
          <w:bCs/>
          <w:rtl w:val="true"/>
        </w:rPr>
        <w:t>ע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 xml:space="preserve">פ </w:t>
      </w:r>
      <w:hyperlink r:id="rId52">
        <w:r>
          <w:rPr>
            <w:rStyle w:val="Hyperlink"/>
            <w:rFonts w:eastAsia="Calibri" w:cs="David" w:ascii="David" w:hAnsi="David"/>
            <w:b/>
            <w:bCs/>
          </w:rPr>
          <w:t>4585/22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ערדאת ואח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25.7.22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ציין בית המשפט העליון כי</w:t>
      </w:r>
      <w:r>
        <w:rPr>
          <w:rFonts w:eastAsia="Calibri" w:cs="David" w:ascii="David" w:hAnsi="David"/>
          <w:rtl w:val="true"/>
        </w:rPr>
        <w:t>:</w:t>
      </w:r>
      <w:r>
        <w:rPr>
          <w:rFonts w:eastAsia="Calibri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Calibri"/>
          <w:b/>
          <w:b/>
          <w:bCs/>
          <w:rtl w:val="true"/>
        </w:rPr>
        <w:t>חומרה רבה נודעת לעבירות התפרעויות המונים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אשר מסכנות באופן ישיר וממשי חיי אדם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בריאותו וגופו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ואף עלולות להביא לפגיעות ברכוש וקניין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אי לזאת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בית משפט זה עמד לא אחת על הצורך לנקוט במדיניות ענישה מרתיעה אשר תרסן ותמנע השתתפות בהתפרעויות אלימות הסוחפות את ההמון ומסבות נזק רב</w:t>
      </w:r>
      <w:r>
        <w:rPr>
          <w:rFonts w:eastAsia="Calibri" w:cs="David" w:ascii="David" w:hAnsi="David"/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b/>
          <w:b/>
          <w:bCs/>
          <w:rtl w:val="true"/>
        </w:rPr>
        <w:t>ע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 xml:space="preserve">פ </w:t>
      </w:r>
      <w:hyperlink r:id="rId53">
        <w:r>
          <w:rPr>
            <w:rStyle w:val="Hyperlink"/>
            <w:rFonts w:eastAsia="Calibri" w:cs="David" w:ascii="David" w:hAnsi="David"/>
            <w:b/>
            <w:bCs/>
          </w:rPr>
          <w:t>3982/22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חג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וג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27.10.22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שב בית המשפט העליון וציין כי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rtl w:val="true"/>
        </w:rPr>
        <w:t xml:space="preserve">"... </w:t>
      </w:r>
      <w:r>
        <w:rPr>
          <w:rFonts w:ascii="David" w:hAnsi="David" w:eastAsia="Calibri"/>
          <w:b/>
          <w:b/>
          <w:bCs/>
          <w:rtl w:val="true"/>
        </w:rPr>
        <w:t>בית משפט זה עמד לא אחת על החומרה הגלומה בעבירות התפרעויות המונים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ועל הצורך לנקוט במדיניות ענישה אשר תרתיע ותרסן התפרעויות שעלולות לדחוף המון רב לצאת מגדר שליטה ולסכן חיי אדם</w:t>
      </w:r>
      <w:r>
        <w:rPr>
          <w:rFonts w:eastAsia="Calibri" w:cs="David" w:ascii="David" w:hAnsi="David"/>
          <w:b/>
          <w:bCs/>
          <w:rtl w:val="true"/>
        </w:rPr>
        <w:t xml:space="preserve">..."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יש לשקול במכלול השיקולים כי העבירות אשר יוחסו לכלל הנאשמים הם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באישום הראשון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עבירת ההתפרעות 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הפרעה לשוטר בנסיבות מחמירות 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מעשי פזיזות או רשלנות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ובאישום השני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עבירת ההתפרעות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עבירות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ייצור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וניסיון הצתה שהינם חמורות ביותר כמו גם העונש הקבוע לצידן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משנתיים בעבירת ההתפרעות ועד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שנה בעבירת ניסיון הצתה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ברקע לאירועים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אופי ההתפרעות שהתבצעה במוקדים ובמועדים שונים ביטא אלימות קיצונית וכללה בין היתר הצתת צמיגים ופחים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יידוי אבנים לעבר שוטרים וניידות 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השלכת בקבוקי תבערה ואבנים לעבר תחנת 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מההתפרעויות נגרם נזק רב לתשתיות ורכוש השייך למועצת שגב שלום ובין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נתלשו מצלמות אבטחה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נשברו עצים ונשרפו עמודי תאורה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פחי אשפה ומתקנים של קרטונים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עצמם נטלו חלק בהבערת צמיגים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השלכתם אל עבר כוחות הביטחון ואף יידוי אבנים וצמיגים בוערים לעבר ניידות משטרה אשר ניזוקו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מכל המקובץ לעיל יש לקבוע כי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מידת הפגיעה בערכים המוגנים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היא משמעותית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בטרם הפנייה לפסיקה הנוהגת אציין את הידוע לכל ולפיו הפסיקה הנוהגת מהווה פרמטר אחד מתוך מספר פרמטרים שהתווה המחוקק לבתי המשפט בקבעם את מתחם העונש ההולם ו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מלאכת הענישה לעולם אינה מתמטית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ועליה להיגזר מנסיבותיו הקונקרטיות של כל מקרה לגופו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ראו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4232/20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נגד 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12.11.20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בחינת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מדיניות הענישה הנוהגת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מעלה כי הגם שקיים מנעד ענישה רחב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שבתי המשפט שוקלים פרמטרים ובהם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התכנון שקדם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חלקו היחסי של הנאשם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הנזק הפוטנציאלי שהיה צפוי להיגרם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הנזק שנגרם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המניע למעשה ועוד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מוטלים עונשי מאסר בפועל מאחורי סורג ובריח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הערות מקדימות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אפנה לבחינת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מדיניות הענישה הנהוגה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5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292/22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נגד מוחמד חליל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29.05.22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התקבל ערעור המדינה על קולת העונש שנגזר על המשיב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ודחיית ערעור שהגיש המשיב שבבסיסו עמדה הטענה לאכיפה בררנית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זאת בגין הרשעתו בכתב אישום מתוקן בעקבות השתתפותו בשלוש התפרעויות אלימות במהלך מבצע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שומר חומות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spacing w:val="10"/>
          <w:rtl w:val="true"/>
        </w:rPr>
        <w:t>בשתי התפרעויות זרק אבנים לעבר ניידות משטרה כחלק מהתפרעות רחבה ובאירוע נוסף הצטייד ב</w:t>
      </w:r>
      <w:r>
        <w:rPr>
          <w:rFonts w:cs="David" w:ascii="David" w:hAnsi="David"/>
          <w:color w:val="000000"/>
          <w:spacing w:val="10"/>
          <w:rtl w:val="true"/>
        </w:rPr>
        <w:t xml:space="preserve">- </w:t>
      </w:r>
      <w:r>
        <w:rPr>
          <w:rFonts w:cs="David" w:ascii="David" w:hAnsi="David"/>
          <w:color w:val="000000"/>
          <w:spacing w:val="10"/>
        </w:rPr>
        <w:t>9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בקבוקי תבערה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ששלושה מתוכן השליך במהלך ההתפרעות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>המשיב הורשע על</w:t>
      </w:r>
      <w:r>
        <w:rPr>
          <w:rFonts w:cs="David" w:ascii="David" w:hAnsi="David"/>
          <w:color w:val="000000"/>
          <w:spacing w:val="10"/>
          <w:rtl w:val="true"/>
        </w:rPr>
        <w:t>-</w:t>
      </w:r>
      <w:r>
        <w:rPr>
          <w:rFonts w:ascii="David" w:hAnsi="David"/>
          <w:color w:val="000000"/>
          <w:spacing w:val="10"/>
          <w:rtl w:val="true"/>
        </w:rPr>
        <w:t>פי הודאתו בשלוש עבירות של התפרעות</w:t>
      </w:r>
      <w:r>
        <w:rPr>
          <w:rFonts w:cs="David" w:ascii="David" w:hAnsi="David"/>
          <w:color w:val="000000"/>
          <w:spacing w:val="10"/>
          <w:rtl w:val="true"/>
        </w:rPr>
        <w:t xml:space="preserve">; </w:t>
      </w:r>
      <w:r>
        <w:rPr>
          <w:rFonts w:ascii="David" w:hAnsi="David"/>
          <w:color w:val="000000"/>
          <w:spacing w:val="10"/>
          <w:rtl w:val="true"/>
        </w:rPr>
        <w:t>שלוש עבירות של הפרעה לשוטר בשעת מילוי תפקידו בנסיבות מחמירות</w:t>
      </w:r>
      <w:r>
        <w:rPr>
          <w:rFonts w:cs="David" w:ascii="David" w:hAnsi="David"/>
          <w:color w:val="000000"/>
          <w:spacing w:val="10"/>
          <w:rtl w:val="true"/>
        </w:rPr>
        <w:t xml:space="preserve">; </w:t>
      </w:r>
      <w:r>
        <w:rPr>
          <w:rFonts w:ascii="David" w:hAnsi="David"/>
          <w:color w:val="000000"/>
          <w:spacing w:val="10"/>
          <w:rtl w:val="true"/>
        </w:rPr>
        <w:t>שתי עבירות של מעשה פזיזות ורשלנות</w:t>
      </w:r>
      <w:r>
        <w:rPr>
          <w:rFonts w:cs="David" w:ascii="David" w:hAnsi="David"/>
          <w:color w:val="000000"/>
          <w:spacing w:val="10"/>
          <w:rtl w:val="true"/>
        </w:rPr>
        <w:t xml:space="preserve">; </w:t>
      </w:r>
      <w:r>
        <w:rPr>
          <w:rFonts w:ascii="David" w:hAnsi="David"/>
          <w:color w:val="000000"/>
          <w:spacing w:val="10"/>
          <w:rtl w:val="true"/>
        </w:rPr>
        <w:t>יצור נשק</w:t>
      </w:r>
      <w:r>
        <w:rPr>
          <w:rFonts w:cs="David" w:ascii="David" w:hAnsi="David"/>
          <w:color w:val="000000"/>
          <w:spacing w:val="10"/>
          <w:rtl w:val="true"/>
        </w:rPr>
        <w:t xml:space="preserve">; </w:t>
      </w:r>
      <w:r>
        <w:rPr>
          <w:rFonts w:ascii="David" w:hAnsi="David"/>
          <w:color w:val="000000"/>
          <w:spacing w:val="10"/>
          <w:rtl w:val="true"/>
        </w:rPr>
        <w:t>והחזקת נשק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 xml:space="preserve">בית משפט קמא קבע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מתחם</w:t>
      </w:r>
      <w:r>
        <w:rPr>
          <w:rFonts w:ascii="David" w:hAnsi="David"/>
          <w:color w:val="000000"/>
          <w:spacing w:val="10"/>
          <w:rtl w:val="true"/>
        </w:rPr>
        <w:t xml:space="preserve"> שינוע בין </w:t>
      </w:r>
      <w:r>
        <w:rPr>
          <w:rFonts w:cs="David" w:ascii="David" w:hAnsi="David"/>
          <w:color w:val="000000"/>
          <w:spacing w:val="10"/>
        </w:rPr>
        <w:t>48-22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חודשי מאסר 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והטיל</w:t>
      </w:r>
      <w:r>
        <w:rPr>
          <w:rFonts w:ascii="David" w:hAnsi="David"/>
          <w:color w:val="000000"/>
          <w:spacing w:val="10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</w:rPr>
        <w:t>20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חודשי מאסר בפועל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cs="David" w:ascii="David" w:hAnsi="David"/>
          <w:color w:val="000000"/>
          <w:spacing w:val="10"/>
        </w:rPr>
        <w:t>10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 xml:space="preserve">חודשי מאסר מותנה וקנס </w:t>
      </w:r>
      <w:r>
        <w:rPr>
          <w:rFonts w:cs="David" w:ascii="David" w:hAnsi="David"/>
          <w:color w:val="000000"/>
          <w:spacing w:val="10"/>
        </w:rPr>
        <w:t>15,000</w:t>
      </w:r>
      <w:r>
        <w:rPr>
          <w:rFonts w:cs="David" w:ascii="David" w:hAnsi="David"/>
          <w:color w:val="000000"/>
          <w:spacing w:val="10"/>
          <w:rtl w:val="true"/>
        </w:rPr>
        <w:t xml:space="preserve"> ₪</w:t>
      </w:r>
      <w:r>
        <w:rPr>
          <w:rFonts w:cs="David" w:ascii="David" w:hAnsi="David"/>
          <w:color w:val="000000"/>
          <w:spacing w:val="1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בית המשפט העליון קבע כי העונש אינו משקף את חומרת מעשי המשיב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שיקולי הרתעת הרבים והרתעת היחיד לא הובאו בחשבון כל צרכם במסגרת גזר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הדין וכי העונש שנגזר קל באופן משמעותי מהעונש שנגזר במקרים דומים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העליון החמיר את עונשו של המשיב כך שירצה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שציין כי איננו ממצה את מלוא חומרת הדין בהיותו ערכאת ערעור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 xml:space="preserve">בית המשפט העליון אף הפנה לחומרת המעשים והעונש הראוי להם בקובעו כי 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"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לא אחת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 xml:space="preserve">עמד בית משפט זה על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החומרה היתרה הנודעת לפעולות של יידוי אבנים והשלכת בקבוקי תבערה </w:t>
      </w:r>
      <w:r>
        <w:rPr>
          <w:rFonts w:cs="David" w:ascii="David" w:hAnsi="David"/>
          <w:b/>
          <w:bCs/>
          <w:color w:val="000000"/>
          <w:rtl w:val="true"/>
        </w:rPr>
        <w:t xml:space="preserve">[...] </w:t>
      </w:r>
      <w:r>
        <w:rPr>
          <w:rFonts w:ascii="David" w:hAnsi="David"/>
          <w:b/>
          <w:b/>
          <w:bCs/>
          <w:color w:val="000000"/>
          <w:rtl w:val="true"/>
        </w:rPr>
        <w:t>לעבר כוחות הביטחון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ועל כך ש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מדיניות </w:t>
      </w:r>
      <w:r>
        <w:rPr>
          <w:rFonts w:ascii="David" w:hAnsi="David"/>
          <w:b/>
          <w:b/>
          <w:bCs/>
          <w:rtl w:val="true"/>
        </w:rPr>
        <w:t>הענישה הנוהגת בעבירות אלה היא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וניתן בה משקל ממשי לשיקולי הרתעה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  <w:spacing w:val="10"/>
          <w:rtl w:val="true"/>
        </w:rPr>
        <w:t xml:space="preserve"> (</w:t>
      </w:r>
      <w:hyperlink r:id="rId56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3708/21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פסקה </w:t>
      </w:r>
      <w:r>
        <w:rPr>
          <w:rFonts w:cs="David" w:ascii="David" w:hAnsi="David"/>
          <w:spacing w:val="10"/>
        </w:rPr>
        <w:t>13</w:t>
      </w:r>
      <w:r>
        <w:rPr>
          <w:rFonts w:cs="David" w:ascii="David" w:hAnsi="David"/>
          <w:spacing w:val="10"/>
          <w:rtl w:val="true"/>
        </w:rPr>
        <w:t xml:space="preserve"> (</w:t>
      </w:r>
      <w:r>
        <w:rPr>
          <w:rFonts w:cs="David" w:ascii="David" w:hAnsi="David"/>
          <w:spacing w:val="10"/>
        </w:rPr>
        <w:t>13.7.2021</w:t>
      </w:r>
      <w:r>
        <w:rPr>
          <w:rFonts w:cs="David" w:ascii="David" w:hAnsi="David"/>
          <w:spacing w:val="10"/>
          <w:rtl w:val="true"/>
        </w:rPr>
        <w:t>)</w:t>
      </w:r>
      <w:r>
        <w:rPr>
          <w:rFonts w:cs="David" w:ascii="David" w:hAnsi="David"/>
          <w:b/>
          <w:bCs/>
          <w:spacing w:val="1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בשונה מהמקרה המונח לפניי המשיב לא הורשע בביצוע עבירת ניסיון הצתה בה הורשעו הנאשמים שלפניי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 לא הורשע בעבירות נוספות בהן הורשעו חלק מהנאשמים כדוגמת עבירת ידויי אבן לעבר כלי תחבורה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הצתה ועוד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tLeast" w:line="360"/>
        <w:ind w:end="0"/>
        <w:jc w:val="both"/>
        <w:rPr>
          <w:rFonts w:ascii="David" w:hAnsi="David" w:eastAsia="Calibri" w:cs="David"/>
        </w:rPr>
      </w:pPr>
      <w:hyperlink r:id="rId57"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</w:rPr>
          <w:t>9723/16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נאדר נאצר נ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מדינת ישראל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26.10.17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נדחה ערעור על חומרת העונש שהושת על המערער בגין הרשעתו בכתב אישום מתוקן בעבירות אותן ביצע בשלושה אירועים של הפרות סדר ובהן סיוע לייצור בקבוקי תבערה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ניסיון לתקיפת שוטר בנסיבות מחמירות והפרעה לשוטר בנסיבות מחמירות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 בגין אירוע אחד בו חסם את הכביש הסמוך למקום ההתפרעות ובכך סייע ליידוי אבנים ובקבוקי תעברה לעבר כוחות הביטחון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ושני אירועים בהם יידה אבנים במסגרת התפרעות כשהוא רעול פנים לעבר כלי רכב וכוחות הביטחון ממרחק כמה עשרות מטרים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המערער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הוטל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מאסר בפועל של </w:t>
      </w:r>
      <w:r>
        <w:rPr>
          <w:rFonts w:cs="David" w:ascii="David" w:hAnsi="David"/>
          <w:color w:val="000000"/>
        </w:rPr>
        <w:t>45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החל ממועד מעצרו ומאסר על תנאי של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ש העליון עמד על חומרת העבירות ועל כך </w:t>
      </w:r>
      <w:r>
        <w:rPr>
          <w:rFonts w:ascii="David" w:hAnsi="David"/>
          <w:b/>
          <w:b/>
          <w:bCs/>
          <w:color w:val="000000"/>
          <w:rtl w:val="true"/>
        </w:rPr>
        <w:t>שהמערער היה מעורב במספר עבירות שבוצעו בתקופת זמן קצרה יחסית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וקבע כי אין זה מקרה המצדיק התערבות בחומרת העונש שהשיתה הערכאה הדיונית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ודוק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מקרה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בשונה מהמקרה המונח לפניי לא הורשע המערער בעבירות שיש בהן כדי להשליך על קביעת המתחם כדוגמת עבירת ניסיון ההצתה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000000"/>
        </w:rPr>
      </w:pPr>
      <w:r>
        <w:rPr>
          <w:rFonts w:eastAsia="Calibri"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58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</w:rPr>
          <w:t>9821/16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 xml:space="preserve"> 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פלוני נ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 xml:space="preserve">' 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מדינת ישראל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30.11.17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נדחו ערעורים על חומרת העונש בעניינם של בגירים </w:t>
      </w:r>
      <w:r>
        <w:rPr>
          <w:rFonts w:ascii="David" w:hAnsi="David"/>
          <w:rtl w:val="true"/>
        </w:rPr>
        <w:t xml:space="preserve">והתקבל ערעור </w:t>
      </w:r>
      <w:r>
        <w:rPr>
          <w:rFonts w:ascii="David" w:hAnsi="David"/>
          <w:color w:val="000000"/>
          <w:rtl w:val="true"/>
        </w:rPr>
        <w:t>של אחד המערערים שהיה קטין בעת ביצוע העבירות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הרלבנטיים לעניינו הם המערער שכונה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אבו סנינה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 xml:space="preserve">והקטין שכונה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'" – </w:t>
      </w:r>
      <w:r>
        <w:rPr>
          <w:rFonts w:ascii="David" w:hAnsi="David"/>
          <w:color w:val="000000"/>
          <w:rtl w:val="true"/>
        </w:rPr>
        <w:t>אבו סנינה הורשע בביצוע עבירות של קשירת קשר לביצוע 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ייצור ונשיאת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ניסיון 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ניסיון תקיפת שוטר והתפרעות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הורשע בביצוע עבירות קשירת קשר לביצוע 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ייצור ונשיאת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ניסיון 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ניסיון תקיפת שוטר בנסיבות מחמירות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ובעבירות התפרעות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 בגין שני אירועים בהם הכין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יחד עם 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בקבוקי תעברה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עטה רעלה על פניו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הצית עם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את בקבוקי התעברה ויידה אותם לעבר בית יהודים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אחד הבקבוקים אף פגע בחלון של בית סמוך וגרם להצתתו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מאוחר יותר ירו זיקוקים לעבר כוחות הביטחון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ביום אחר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נכנסו אבו סנינה ומ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למתחם הר הבית במטרה ליידות אבנים וביום למחרת נטלו חלק בידוי אבנים לעבר כחות הביטחון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הקטין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הורשע אף באירוע נוסף 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יחד עם 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ירה זיקוקים ויידה אבנים לעבר כוחות משטרה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עונשו של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שהיה קטין</w:t>
      </w:r>
      <w:r>
        <w:rPr>
          <w:rFonts w:ascii="David" w:hAnsi="David"/>
          <w:color w:val="000000"/>
          <w:rtl w:val="true"/>
        </w:rPr>
        <w:t xml:space="preserve"> בעת ביצוע המעשים הופחת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שנות מאסר בפועל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תחת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שהוטלו 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 בית משפט קמא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נוכח הפוטנציאל השיקומי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העדר עבר פלילי קודם וסטייה לחומרה מרמת הענישה הנוהגת בעיינם של קטינים בנסיבות דומות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אבו סנינה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צעיר נעדר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נדון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שנות מאסר בפועל </w:t>
      </w:r>
      <w:r>
        <w:rPr>
          <w:rFonts w:ascii="David" w:hAnsi="David"/>
          <w:color w:val="000000"/>
          <w:spacing w:val="10"/>
          <w:rtl w:val="true"/>
        </w:rPr>
        <w:t>ו</w:t>
      </w:r>
      <w:r>
        <w:rPr>
          <w:rFonts w:cs="David" w:ascii="David" w:hAnsi="David"/>
          <w:color w:val="000000"/>
          <w:spacing w:val="10"/>
          <w:rtl w:val="true"/>
        </w:rPr>
        <w:t>-</w:t>
      </w:r>
      <w:r>
        <w:rPr>
          <w:rFonts w:cs="David" w:ascii="David" w:hAnsi="David"/>
          <w:color w:val="000000"/>
          <w:spacing w:val="10"/>
        </w:rPr>
        <w:t>8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חודשי מאסר מותנה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עונשו על חומרת העונש נדחה תוך שבית המשפט העליון קבע כי לאור פוטנציאל הנזק המשמעותי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ביצוע העבירות תוך התארגנות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למדיניות הענישה הנהוגה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לא נפל כל דופי בתוצאה שאליה הגיע בית המשפט קמא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הגם שמדובר בענישה שאיננה קלה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59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</w:rPr>
          <w:t>5300/16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 אסאלם נגאר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08.01.17</w:t>
      </w:r>
      <w:r>
        <w:rPr>
          <w:rFonts w:eastAsia="Calibri" w:cs="David" w:ascii="David" w:hAnsi="David"/>
          <w:rtl w:val="true"/>
        </w:rPr>
        <w:t>)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 xml:space="preserve">התקבל ערעור המדינה על קולת העונש – </w:t>
      </w:r>
      <w:r>
        <w:rPr>
          <w:rFonts w:ascii="David" w:hAnsi="David"/>
          <w:spacing w:val="10"/>
          <w:rtl w:val="true"/>
        </w:rPr>
        <w:t>בית המשפט העליון החמיר את עונש המאסר ל</w:t>
      </w:r>
      <w:r>
        <w:rPr>
          <w:rFonts w:cs="David" w:ascii="David" w:hAnsi="David"/>
          <w:spacing w:val="10"/>
          <w:rtl w:val="true"/>
        </w:rPr>
        <w:t xml:space="preserve">- </w:t>
      </w:r>
      <w:r>
        <w:rPr>
          <w:rFonts w:cs="David" w:ascii="David" w:hAnsi="David"/>
          <w:spacing w:val="10"/>
        </w:rPr>
        <w:t>40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חודשי מאסר חלף </w:t>
      </w:r>
      <w:r>
        <w:rPr>
          <w:rFonts w:cs="David" w:ascii="David" w:hAnsi="David"/>
          <w:color w:val="000000"/>
          <w:spacing w:val="10"/>
        </w:rPr>
        <w:t>30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חודשי המאסר שהוטלו על ידי בית משפט קמא תוך שציין כי לא מיצה עמו את הדין כפי שראוי היה לעשות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הן משום שערכאת הערעור אינה נוהגת למצות את מלוא חומרת הדין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והן בשל הנסיבות המקלות שפורטו על ידי בית משפט קמא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ובראשן נכונותו של המשיב לשתף פעולה עם רשויות אכיפת החוק ולהעיד במשפטם של חבריו</w:t>
      </w:r>
      <w:r>
        <w:rPr>
          <w:rFonts w:cs="David" w:ascii="David" w:hAnsi="David"/>
          <w:color w:val="000000"/>
          <w:spacing w:val="10"/>
          <w:rtl w:val="true"/>
        </w:rPr>
        <w:t>.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זאת בגין ארבעה אירועים נפרדים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שבשניים מהם יידה המשיב אבנים לעבר כוחות הביטחון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ובכל אחד משני האירועים האחרים השליך בקבוק תבערה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לאחר שנטל חלק בייצורם של הבקבוקים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>כל זאת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במסגרת התפרעויות המוניות שהתרחשו באותה תקופה בשכונת ראס אל עמוד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ראו הערתי הנוגעת ל</w:t>
      </w:r>
      <w:hyperlink r:id="rId6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292/22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הרלבנטית אף לפסק דין זה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tLeast" w:line="33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hyperlink r:id="rId61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ת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מחוזי ים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b/>
            <w:bCs/>
          </w:rPr>
          <w:t>49353-07-21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גית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17.11.22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הורשע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צעיר כבן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הודאתו בביצוע ארבע עבירות התפרעות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מעשה פזיזות ורשלנות בצוותא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מעשה פזיזות ורשלנות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ניסיון לחבלה חמורה בנסיבות מחמירות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שתי עבירות הפרעה לשוטר בנסיבות מחמירות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ניסיון תקיפת שוטר בנסיבות מחמירות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זאת בגין ארבעה אירועים בהם לקח חלק במהלך מבצע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שומר החומות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בהם יידה מספר אבנים אל עבר שוטרים ובתי יהודים כחלק מהתפרעות רחבה במסגרתה אף הושלכו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בחלק מהמקרים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בקבוקי תבערה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משפט קמא קבע מתחם  הנע בין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והטיל על הנאשם ענישה בתחתית 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 לא הורשע הנאשם בעבירות הצתה ועבירות נוספות בהן הורשעו הנאשמים שלפניי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-58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 מצאתי ללמוד מ</w:t>
      </w:r>
      <w:hyperlink r:id="rId62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22/18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זינה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27.7.22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ומ</w:t>
      </w:r>
      <w:hyperlink r:id="rId63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3253/19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חומוס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24.06.20</w:t>
      </w:r>
      <w:r>
        <w:rPr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לאור השוני בנסיבות ביצוע העבירה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– באותם פסקי דין דובר על אירוע נקודתי אחד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לא מצאתי ללמוד מ</w:t>
      </w:r>
      <w:hyperlink r:id="rId64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46760-06-21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אלעמראני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09.02.23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hyperlink r:id="rId65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8684-06-16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נגד אבו ריא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15.02.17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שכן שם דובר באירועים חמורים הרבה פחות מהמקרה המונח לפניי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גם לא מצאתי ללמוד מ</w:t>
      </w:r>
      <w:hyperlink r:id="rId66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37387-04-18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נגד דחל אללה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18.02.19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שכן שם דובר על שני מקרים ספורדיים שאירעו בריחוק זמנים ושלא על רקע התפרעויות המוניות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לא מצאתי ללמוד מ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תפ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 </w:t>
      </w:r>
      <w:hyperlink r:id="rId67"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39587-07-21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25.04.23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שם נדונו חלק מהנאשמים לעונשים מוסכמים בהסדר טיעון ואחר נדון בגין עבירת סיוע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במסגרת הנסיבות הקשורות בביצוע העבירה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לשקול את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הרקע לביצוע העבירות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כפי שבא לידי ביטוי בחלק הכללי של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גם המניע לפגוע בסמלי שלטון תוך התרסה נגד רשויות אכיפת החוק וכי בעניינם של נאשמים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המניע לביצוע חלק מהעבירות היה אף מניע לאומני אידיאולוגי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בשונה מטענת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הנאשמים ברי כי למעשי הנאשמים קדם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תכנון מוקדם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בו כדי להעצים את חומרת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במיוחד כאשר אלה בוצעו יום אחרי 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תכנון זה בא לידי ביטוי במספר פעולות כמפורט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באישום הראשון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הנאשמים הגיעו לצומת כשהם רעולי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בעודם יודעים כי ישתתפו בהפרות סדר 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 לצומת היישוב כשהוא מצויד בשלושה זיקוקים 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בסיוע אחרים טיפס על עמוד וחתך כבלים השייכים למצלמת אבטחה שהייתה מותקנת עליו כדי למנוע תיעוד המעשים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באישום השני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הנאשמים הכינו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בקבוקי תבערה על מנת להצית את תחנת המשטרה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 הנאשמים הלכו רעולי פנים עם מתפרעים נוספים לכיכר מרכזית ביישוב כשידוע להם שהם עתידים להשתתף בהפרות סדר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מעבר לתכנון שקדם למעשים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ההצטיידות ברעלות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גם יצירת מיסוך עשן שנועדה להפריע את זיהוי המתפרעים מעידה על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תחכום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מקריאת עובדות כתב האישום המתוקן עולה 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מעשים רבים מיוחסים לכלל הנאשמים ובעניין זה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חלקם היחסי של כל אחד מהנאשמים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דומה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אמנם קיימים מעשים המיוחסים לנאשם כזה או אחר ושאינם מיוחסים ליתר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 ברי כי כל אחד מהנאשמים לקח חלק משמעותי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בעניין זה אציין כי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באישום הראשון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הגיע עם זיקוקים שהפעיל במהלך האירוע בסמוך לכוחות הביטחון ומאוחר יותר לעבר רכבו של המתלונן ואף תקף את המתלונן בכך שבעט בו והדפו לאחור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חתך את כבל מצלמת האבטחה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נהג ברכבו של המתלונן בפראות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הכביש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 המדרכה ובכיכר בניגוד לכיוון התנועה בעוד שרכבים נוספים נסעו בכביש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שבר את מחשבו של המתלונן ומכשיר הטלפון שלו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נאשם </w:t>
      </w:r>
      <w:r>
        <w:rPr>
          <w:rFonts w:eastAsia="Times New Roman" w:cs="David" w:ascii="David" w:hAnsi="David"/>
          <w:b/>
          <w:bCs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יידה אבן ממרחק קצר לכיוון המתלונן שישב ברכבו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האבן נפצה את שמשת הרכב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מאוחר יותר נטל את ארנקו של המתלונן מהרכב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לקח מהארנק </w:t>
      </w:r>
      <w:r>
        <w:rPr>
          <w:rFonts w:eastAsia="Times New Roman" w:cs="David" w:ascii="David" w:hAnsi="David"/>
          <w:sz w:val="24"/>
          <w:szCs w:val="24"/>
        </w:rPr>
        <w:t>40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וזרק את הארנק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באישום השני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נאשמים </w:t>
      </w:r>
      <w:r>
        <w:rPr>
          <w:rFonts w:eastAsia="Times New Roman" w:cs="David" w:ascii="David" w:hAnsi="David"/>
          <w:b/>
          <w:bCs/>
          <w:sz w:val="24"/>
          <w:szCs w:val="24"/>
        </w:rPr>
        <w:t>3-4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יידו אבנים ממרחק קצר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לעבר רכב משטרתי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סוואנה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שהיה בנסיעה ובו שוטרים וגרמו לו נזק משמעותי ובין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לשמשה הקדמית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מאוחר יותר ניסו להימלט ונתפסו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באישום השלישי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אף השתתף בלילה נוסף בהפרות סדר אלימות שכללו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יידוי אבנים והבערת צמיגים לעבר כוחות הביטחון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עוד יש לשקול את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פוטנציאל הנזק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הטמון בעבירות הפרות הסדר שבוצעו על ידי הנאשמים אשר יכלו במעשיהם לזרוע הרס רב בהרבה מזה שנגרם 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תוך גרימת נזק בגוף וברכוש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צפייה במצלמות האבטחה של האירוע מלמדות כי הופעלה כלפי המתלונן אלימות לא מבוטלת שרק בזכות אותם אזרחים שומרי חוק שהכניסו אותו למכולת נמנע אירוע חמור בהרבה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ודוק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אינני מתעלמת מדבריו של המתלונן אשר טען כי האירוע לא נחווה על ידו כאירוע טראומתי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במהלכו לא חש סכנה לחייו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וכי האלימות שהופעלה כלפיו לא הייתה משמעותית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צפייה בסרטון כמו גם עיון בעובדות כתב האישום מלמדות כי הופעלה כלפיו אלימות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שכללה בעיטות ודחיפות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זאת ועוד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השלכת בקבוקי התבערה אל עבר תחנת המשטרה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הגם שהייתה ריקה מאנשים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מקיימת בתוכה פוטנציאל נזק משמעותי שכן אותה תחנה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כעולה מעובדות כתב האישום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מצויה בתוך הישוב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בסמוך למחסן שאף החל להישרף בשל מעשיהם של הנאשמים ואך בנס האש דעכה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בעניין זה אפנה לדברי בית המשפט העליון ב</w:t>
      </w:r>
      <w:hyperlink r:id="rId68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pacing w:val="1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pacing w:val="1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pacing w:val="1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pacing w:val="10"/>
            <w:sz w:val="24"/>
            <w:szCs w:val="24"/>
            <w:u w:val="single"/>
          </w:rPr>
          <w:t>4743/22</w:t>
        </w:r>
      </w:hyperlink>
      <w:r>
        <w:rPr>
          <w:rFonts w:eastAsia="Times New Roman" w:cs="David" w:ascii="David" w:hAnsi="David"/>
          <w:b/>
          <w:bCs/>
          <w:spacing w:val="1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</w:rPr>
        <w:t>17.8.2022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)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 xml:space="preserve">הנוגעת לפוטנציאל הנזק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הטמון באש שאין עליה שליטה ושעשויה להתפשט תוך פרק זמן קצר ולגרום נזק בלתי הפיך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eastAsia="Times New Roman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חומרה יתרה נלמדת גם מכך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מעשים רבים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כוונו נגד כוחות הביטחון כאשר אלה מבטאות התרסה וזלזול מופגן נגד המדינה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שלטון החוק וגורמי אכיפתו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כמו גם העובדה כי תקיפת המתלונן בוצעה הגם שהציג בפניהם תעודת עיתונאי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יצא את רכבו כשידיו מורמות ולאחר שנשמעו קריאות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יהודי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בטרם סיום פרק זה אשוב ואדגיש כי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הגם שהתייחסתי לעיל בקצרה לחלקו של כל נאשם בביצוע 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להתייחס לטענות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הצדדים אשר טענו לשני אלמנטים המשותפים לנאשמים המפחיתים לדידם את אחריותם במעשים והם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עובדת היותם צעירים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כולם כבני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העבירות בוצעו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בצוותא חדא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הגם שעל בית המשפט להתחשב בגילם של הנאשמים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כמצוות </w:t>
      </w:r>
      <w:hyperlink r:id="rId69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6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7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כחלק מהפרמטרים לקביעת המתחם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בהיבט של בחינת יכולתם להבין את אשר עושים ומשמעותם </w:t>
      </w:r>
      <w:r>
        <w:rPr>
          <w:rFonts w:cs="David" w:ascii="David" w:hAnsi="David"/>
          <w:sz w:val="24"/>
          <w:szCs w:val="24"/>
          <w:rtl w:val="true"/>
        </w:rPr>
        <w:t xml:space="preserve">-  </w:t>
      </w:r>
      <w:r>
        <w:rPr>
          <w:rFonts w:ascii="David" w:hAnsi="David" w:cs="David"/>
          <w:sz w:val="24"/>
          <w:sz w:val="24"/>
          <w:szCs w:val="24"/>
          <w:rtl w:val="true"/>
        </w:rPr>
        <w:t>גילם של הנאשמים במקרה שלפניי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הרשעתם בחלק מהעבירות מכח דיני השותפות אינם מפחיתים מאחריותם למעשים בשים לב לתכנון שקדם למעשים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הימשכות האירועים </w:t>
      </w:r>
      <w:r>
        <w:rPr>
          <w:rFonts w:ascii="David" w:hAnsi="David" w:cs="David"/>
          <w:sz w:val="24"/>
          <w:sz w:val="24"/>
          <w:szCs w:val="24"/>
          <w:rtl w:val="true"/>
        </w:rPr>
        <w:t>על פני מספר 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כשבכל שלב יכלו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להפסיק ולהשתתף בהפרות הסדר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עשו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והעובדה כי לכל אחד מהנאשמים היה חלק פעיל כזה או אחר במהלך ההתפרעויות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color w:val="000000"/>
          <w:spacing w:val="1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71"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4"/>
            <w:szCs w:val="24"/>
            <w:u w:val="single"/>
          </w:rPr>
          <w:t>2090/22</w:t>
        </w:r>
      </w:hyperlink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color w:val="000000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pacing w:val="10"/>
          <w:sz w:val="24"/>
          <w:szCs w:val="24"/>
        </w:rPr>
        <w:t>29.5.2022</w:t>
      </w:r>
      <w:r>
        <w:rPr>
          <w:rFonts w:cs="David" w:ascii="David" w:hAnsi="David"/>
          <w:color w:val="000000"/>
          <w:spacing w:val="10"/>
          <w:sz w:val="24"/>
          <w:szCs w:val="24"/>
          <w:rtl w:val="true"/>
        </w:rPr>
        <w:t>)</w:t>
      </w:r>
      <w:r>
        <w:rPr>
          <w:rFonts w:cs="David" w:ascii="David" w:hAnsi="David"/>
          <w:color w:val="000000"/>
          <w:spacing w:val="1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pacing w:val="10"/>
          <w:sz w:val="24"/>
          <w:sz w:val="24"/>
          <w:szCs w:val="24"/>
          <w:rtl w:val="true"/>
        </w:rPr>
        <w:t>נדון מקרה שונה מעניינו בו התקבל ערעור המדינה על קולת העונש והוחמר עונשו של קטין שנטל חלק בעבירות אלימות חמורות</w:t>
      </w:r>
      <w:r>
        <w:rPr>
          <w:rFonts w:cs="David" w:ascii="David" w:hAnsi="David"/>
          <w:color w:val="000000"/>
          <w:spacing w:val="1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שם כב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הש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ג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כנפי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 xml:space="preserve">שטייניץ ציינה כי 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color w:val="000000"/>
          <w:spacing w:val="10"/>
          <w:sz w:val="24"/>
          <w:sz w:val="24"/>
          <w:szCs w:val="24"/>
          <w:rtl w:val="true"/>
        </w:rPr>
        <w:t>ביצוע המעשים בחבורה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והרשעתו של המשיב מכוח ביצוע בצוותא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בנסיבות ענייננו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color w:val="000000"/>
          <w:spacing w:val="10"/>
          <w:sz w:val="24"/>
          <w:sz w:val="24"/>
          <w:szCs w:val="24"/>
          <w:rtl w:val="true"/>
        </w:rPr>
        <w:t>אינה נסיבה המקלה עם המשיב כטענתו</w:t>
      </w:r>
      <w:r>
        <w:rPr>
          <w:rFonts w:eastAsia="Times New Roman" w:cs="David" w:ascii="David" w:hAnsi="David"/>
          <w:b/>
          <w:bCs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color w:val="000000"/>
          <w:spacing w:val="10"/>
          <w:sz w:val="24"/>
          <w:sz w:val="24"/>
          <w:szCs w:val="24"/>
          <w:rtl w:val="true"/>
        </w:rPr>
        <w:t>אלא נסיבה המחמירה עמו</w:t>
      </w:r>
      <w:r>
        <w:rPr>
          <w:rFonts w:eastAsia="Times New Roman" w:cs="David" w:ascii="David" w:hAnsi="David"/>
          <w:b/>
          <w:bCs/>
          <w:color w:val="000000"/>
          <w:spacing w:val="10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בשים לב לתכנון המוקדם של האירוע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חומרת המעשים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כמו גם פוטנציאל הנזק הגלום בהתלקחות בקבוק תבערה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שאך במקרה לא הסתיים בפגיעה שבגוף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color w:val="000000"/>
          <w:spacing w:val="10"/>
          <w:sz w:val="24"/>
          <w:sz w:val="24"/>
          <w:szCs w:val="24"/>
          <w:rtl w:val="true"/>
        </w:rPr>
        <w:t>מחייבת התייחסות מחמירה גם בעניינם של קטינים</w:t>
      </w:r>
      <w:r>
        <w:rPr>
          <w:rFonts w:eastAsia="Times New Roman" w:cs="David" w:ascii="David" w:hAnsi="David"/>
          <w:b/>
          <w:bCs/>
          <w:color w:val="000000"/>
          <w:spacing w:val="10"/>
          <w:sz w:val="24"/>
          <w:szCs w:val="24"/>
          <w:rtl w:val="true"/>
        </w:rPr>
        <w:t>.."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 (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הדגשות אינן במקור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ט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>.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ל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>.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ש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דהיינו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התכנון המוקדם כמו גם החבירה בצוותא במקרה דנן לצורך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שאלו נעשו על ידי נאשמים צעירים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בהם כדי להקל באופן משמעותי על קביעת המתחם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האמור אני קובעת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מתחמי הענישה </w:t>
      </w:r>
      <w:r>
        <w:rPr>
          <w:rFonts w:ascii="David" w:hAnsi="David" w:cs="David"/>
          <w:sz w:val="24"/>
          <w:sz w:val="24"/>
          <w:szCs w:val="24"/>
          <w:rtl w:val="true"/>
        </w:rPr>
        <w:t>הם כדלקמן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–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מתחם הנע בין </w:t>
      </w:r>
      <w:r>
        <w:rPr>
          <w:rFonts w:eastAsia="Times New Roman" w:cs="David" w:ascii="David" w:hAnsi="David"/>
          <w:b/>
          <w:bCs/>
          <w:sz w:val="24"/>
          <w:szCs w:val="24"/>
        </w:rPr>
        <w:t>5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וחצי 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b/>
          <w:bCs/>
          <w:sz w:val="24"/>
          <w:szCs w:val="24"/>
        </w:rPr>
        <w:t>8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הנאשם  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-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מתחם הנע בין </w:t>
      </w:r>
      <w:r>
        <w:rPr>
          <w:rFonts w:eastAsia="Times New Roman" w:cs="David" w:ascii="David" w:hAnsi="David"/>
          <w:b/>
          <w:bCs/>
          <w:sz w:val="24"/>
          <w:szCs w:val="24"/>
        </w:rPr>
        <w:t>5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וחצי 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b/>
          <w:bCs/>
          <w:sz w:val="24"/>
          <w:szCs w:val="24"/>
        </w:rPr>
        <w:t>7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</w:rPr>
        <w:t>3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 -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מתחם הנע בין </w:t>
      </w:r>
      <w:r>
        <w:rPr>
          <w:rFonts w:eastAsia="Times New Roman" w:cs="David" w:ascii="David" w:hAnsi="David"/>
          <w:b/>
          <w:bCs/>
          <w:sz w:val="24"/>
          <w:szCs w:val="24"/>
        </w:rPr>
        <w:t>5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b/>
          <w:bCs/>
          <w:sz w:val="24"/>
          <w:szCs w:val="24"/>
        </w:rPr>
        <w:t>7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הנאשם 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</w:rPr>
        <w:t>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–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מתחם הנע בין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וחצי 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קביעת העונש בתוככי המתחם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בקביעה זו יש לקחת בחשבון כי הנאשמים כולם נעדרי עבר פלילי אשר הודו בעובדות כתב האישום המתוקן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  <w:u w:val="single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יליד </w:t>
      </w:r>
      <w:r>
        <w:rPr>
          <w:rFonts w:eastAsia="Times New Roman" w:cs="David" w:ascii="David" w:hAnsi="David"/>
          <w:sz w:val="24"/>
          <w:szCs w:val="24"/>
        </w:rPr>
        <w:t>2002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סיים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לימוד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 תעודת בגרות חלקית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גדל בסביבה מורכבת ויצר קשרים חברתיים שוליים אחריהם נגרר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כדי לחוות שייכות וקבלה ובהמשך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פנה לצריכת סמים בין היתר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כאמצעי חברתי לסיפוק תחושת בטחון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ערה אני לדברי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לפיהם השתתפות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בעבירות נבעה מתוך היגררות ולא נבעה ממניע אידיאולוגי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יחד עם זאת ערה אני גם למפורט בתסקיר לפיו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אינו תופס את מעשיו כחריגים ואינו מכיר בתוצאותיהם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אמנם הודה בטעותו במעמד הדיון ומסר התנצלותו על המעשים אך  אין בפניי אינדיקציה לנכונות לטיפול או רצון לשנות את דפוסי מחשבתו ביחס לעבירות שביצע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  <w:u w:val="single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יליד </w:t>
      </w:r>
      <w:r>
        <w:rPr>
          <w:rFonts w:eastAsia="Times New Roman" w:cs="David" w:ascii="David" w:hAnsi="David"/>
          <w:sz w:val="24"/>
          <w:szCs w:val="24"/>
        </w:rPr>
        <w:t>2002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סיים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לימוד ללא תעודת בגרות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קרוב משפחה של נאשם 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גדל במשפחה נורמטיבית ועובר למעצרו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שמר על יציבות תעסוקתית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כפי שהובא בתסקיר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הציג עצמו כקורבן ונתן תשומת לב מועטה להתנהגותו האלימה תוך שלא ביטא רצון או נזקקות לטיפול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ציין טען כי העובדה ולפיה זו הפעם הראשונה בה 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נמצא מאחורי סורג ובריח מעצימה את הסיכון בחיבור לחברה שולית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מסר אמנם כי לוקח אחריות על מעשיו ומבין את טעותו אך לא הביע נכונות לטיפול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  <w:u w:val="single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יליד </w:t>
      </w:r>
      <w:r>
        <w:rPr>
          <w:rFonts w:eastAsia="Times New Roman" w:cs="David" w:ascii="David" w:hAnsi="David"/>
          <w:sz w:val="24"/>
          <w:szCs w:val="24"/>
        </w:rPr>
        <w:t>2003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הצעיר מבין הנאשמים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גדל ברקע מורכב שהובילו לנשור מהלימודים בכיתה ח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לטובת סיוע בפרנסת משפחתו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שירות המבחן פירט כי 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גדל במציאות משפחתית מורכבת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ללא מערכת תמיכה משמעותית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על רקע היות אביו אסיר בטחוני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עניין שמעיב על האמון בגורמי הממסד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בדיון ביקש סליחה והודה בטעותו אך לא הביע רצון לקחת חלק בטיפול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  <w:u w:val="single"/>
        </w:rPr>
      </w:pPr>
      <w:r>
        <w:rPr>
          <w:rFonts w:eastAsia="Times New Roman"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eastAsia="Times New Roman" w:cs="David" w:ascii="David" w:hAnsi="David"/>
          <w:sz w:val="24"/>
          <w:szCs w:val="24"/>
          <w:u w:val="single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יליד </w:t>
      </w:r>
      <w:r>
        <w:rPr>
          <w:rFonts w:eastAsia="Times New Roman" w:cs="David" w:ascii="David" w:hAnsi="David"/>
          <w:sz w:val="24"/>
          <w:szCs w:val="24"/>
        </w:rPr>
        <w:t>2002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נסיבות חייו מורכבות וקשות וגרמו לו לנשור לאחר 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 לימוד בלבד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לטובת סיוע בפרנסת משפחתו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במעמד הדיון טען כי הנאשם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 הקורבן בהעדר טיפול של רשויות המדינה במצבו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בעניין זה אציין כי הגם שצודק 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 הנאשם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כי למדינה קיימת אחריות לסייע לצעיר שנסיבותיו האישיות כל כך קשות ויתכן שבעניינו של 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כשלה המדינה בהצעת סיוע מתאים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 בנסיבות אלה כדי להפחית ממידת האחריות שלו למעשיו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זאת במיוחד לאור היותו בגיר ובשים לב לקביעת בית המשפט כי בעבירות כגון דא נסיבות אישיות של נאשם נסוגות אל מול יתר שיקולי הענישה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מהתרשמות מדברי הנאשם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לעונש וכך גם על פי תסקיר שירות המבחן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נראה כי נאשם </w:t>
      </w:r>
      <w:r>
        <w:rPr>
          <w:rFonts w:eastAsia="Times New Roman" w:cs="David" w:ascii="David" w:hAnsi="David"/>
          <w:sz w:val="24"/>
          <w:szCs w:val="24"/>
        </w:rPr>
        <w:t>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מבין את טעותו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מצר עליה ושלל מניע לאומני או גזעני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עוד התרשם שירות המבחן כי אין המדובר באדם בעל דפוסים אלימים מושרשים ולא מחזיק בעמדות הנותנות לגיטימציה לשימוש באלימות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יחד עם זאת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 בפניי אינדיקציה לנכונות לטיפול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ברי כי מעבר לשיקולים הפרטניים הנוגעים לכל נאשם ונאשם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במסגרת קביעת הענישה יש ליתן משקל משמעותי אף לשיקול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הרתעת הרבים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כפי שצוין לעיל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 המשפט העליון קבע לא אחת כי בעבירות כגון דא קיימת חובה להחמיר בענישה אף כדי לייצר הרתעה אצל הרבים מפני ביצוע מעשים דומים הפוגעים באופן משמעותי בערכים החברתיים המוגנים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סוף דבר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לאחר ששקלתי את כלל השיקולים הנדרשים להכרעה</w:t>
      </w:r>
      <w:r>
        <w:rPr>
          <w:rFonts w:eastAsia="Times New Roman" w:cs="David" w:ascii="David" w:hAnsi="David"/>
          <w:color w:val="000000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pacing w:val="10"/>
          <w:sz w:val="24"/>
          <w:sz w:val="24"/>
          <w:szCs w:val="24"/>
          <w:rtl w:val="true"/>
        </w:rPr>
        <w:t>באתי לכלל מסקנה כי יש להטיל על כל אחד מהנאשמים ענישה ברף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הנמוך של המתחם אם כי לא בתחתיתו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זאת בשל גורמי הסיכון שפורטו בעניינם של כל אחד מהנאשמים אל מול הצורך בענישה אשר תהווה גורם הרתעה לרבים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לצד עונשי המאסר אטיל אף ענישה צופה פני עתיד שתהווה גורם מרתיע לעתיד לבוא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כמו גם ענישה כלכלית שתכלול הן פיצוי למתלונן והן קנס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בעניין זה אציין כי לאור עמדת המתלונן אסתפק בפיצוי סמלי בלבד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סוף דבר אני גוזרת על הנאשמים את העונשים הבאים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שנות מאסר שימנו מיום מעצרו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12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שלוש שנים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מיום שחרורו שלא יעבור שוב עבירה מסוג פשע לפי סימן </w:t>
      </w:r>
      <w:hyperlink r:id="rId72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לפרק י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סימן </w:t>
      </w:r>
      <w:hyperlink r:id="rId73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לפרק יא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סעיף </w:t>
      </w:r>
      <w:hyperlink r:id="rId74"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75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שלוש שנים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מיום שחרורו שלא יעבור שוב עבירה לפי סעיף </w:t>
      </w:r>
      <w:r>
        <w:rPr>
          <w:rFonts w:cs="David" w:ascii="David" w:hAnsi="David"/>
          <w:b/>
          <w:bCs/>
          <w:sz w:val="24"/>
          <w:szCs w:val="24"/>
        </w:rPr>
        <w:t>152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עבירה מסוג עוון לפי סימן 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כל עבירה לפי סימן </w:t>
      </w:r>
      <w:hyperlink r:id="rId76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לפרק יא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77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ישלם פיצוי למתלונן על סך </w:t>
      </w:r>
      <w:r>
        <w:rPr>
          <w:rFonts w:eastAsia="Times New Roman" w:cs="David" w:ascii="David" w:hAnsi="David"/>
          <w:b/>
          <w:bCs/>
          <w:sz w:val="24"/>
          <w:szCs w:val="24"/>
        </w:rPr>
        <w:t>3000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ישלם קנס בסך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</w:rPr>
        <w:t>,000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eastAsia="Times New Roman" w:cs="David" w:ascii="David" w:hAnsi="David"/>
          <w:b/>
          <w:bCs/>
          <w:sz w:val="24"/>
          <w:szCs w:val="24"/>
        </w:rPr>
        <w:t>50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ימי מאסר תמורת הקנס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הקנס ישולם 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תשלומים חודשיים שווים ורצופים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תשלום ראשון תוך </w:t>
      </w: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חודשים מהיום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שנות מאסר שימנו מיום מעצרו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12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 מיום שחרורו של יעבור שוב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עבירה לפי סימן מסוג פשע לפי סימן 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סעיף </w:t>
      </w:r>
      <w:hyperlink r:id="rId78"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79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שלוש שנים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מיום שחרורו שלא יעבור שוב עבירה לפי סעיף </w:t>
      </w:r>
      <w:hyperlink r:id="rId80"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152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עבירה מסוג עוון לפי סימן 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81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ישלם פיצוי למתלונן על סך </w:t>
      </w:r>
      <w:r>
        <w:rPr>
          <w:rFonts w:eastAsia="Times New Roman" w:cs="David" w:ascii="David" w:hAnsi="David"/>
          <w:b/>
          <w:bCs/>
          <w:sz w:val="24"/>
          <w:szCs w:val="24"/>
        </w:rPr>
        <w:t>3000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ישלם קנס בסך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</w:rPr>
        <w:t>,000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eastAsia="Times New Roman" w:cs="David" w:ascii="David" w:hAnsi="David"/>
          <w:b/>
          <w:bCs/>
          <w:sz w:val="24"/>
          <w:szCs w:val="24"/>
        </w:rPr>
        <w:t>50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ימי מאסר תמורת הקנס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הקנס ישולם 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b/>
          <w:bCs/>
          <w:sz w:val="24"/>
          <w:szCs w:val="24"/>
        </w:rPr>
        <w:t>4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תשלומים חודשיים שווים ורצופים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תשלום ראשון תוך </w:t>
      </w: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חודשים מהיום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3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חמש וחצי שנות מאסר שימנו מיום מעצרו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12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 מיום שחרורו של יעבור שוב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עבירה מסוג לפי סימן 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סעיף </w:t>
      </w:r>
      <w:hyperlink r:id="rId82"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8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שלוש שנים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שלא יעבור שוב עבירה לפי סעיף </w:t>
      </w:r>
      <w:hyperlink r:id="rId84"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152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עבירה מסוג עוון לפי סימן 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יא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ל</w:t>
      </w:r>
      <w:hyperlink r:id="rId85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ישלם פיצוי למתלונן על סך </w:t>
      </w:r>
      <w:r>
        <w:rPr>
          <w:rFonts w:eastAsia="Times New Roman" w:cs="David" w:ascii="David" w:hAnsi="David"/>
          <w:b/>
          <w:bCs/>
          <w:sz w:val="24"/>
          <w:szCs w:val="24"/>
        </w:rPr>
        <w:t>3000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ישלם קנס בסך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</w:rPr>
        <w:t>,000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eastAsia="Times New Roman" w:cs="David" w:ascii="David" w:hAnsi="David"/>
          <w:b/>
          <w:bCs/>
          <w:sz w:val="24"/>
          <w:szCs w:val="24"/>
        </w:rPr>
        <w:t>50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ימי מאסר תמורת הקנס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הקנס ישולם 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b/>
          <w:bCs/>
          <w:sz w:val="24"/>
          <w:szCs w:val="24"/>
        </w:rPr>
        <w:t>5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תשלומים חודשיים שווים ורצופים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תשלום ראשון תוך </w:t>
      </w: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חודשים מהיום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4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חמש שנות מאסר שימנו מיום מעצרו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12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 מיום שחרורו של יעבור שוב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עבירה מסוג פשע לפי סימן 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סעיף </w:t>
      </w:r>
      <w:hyperlink r:id="rId86"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144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87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שלוש שנים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שלא יעבור שוב עבירה לפי סעיף </w:t>
      </w:r>
      <w:hyperlink r:id="rId88"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152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עבירה מסוג עוון לפי סימן 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סימן 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לפרק יא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ל</w:t>
      </w:r>
      <w:hyperlink r:id="rId89"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ישלם פיצוי למתלונן על סך </w:t>
      </w:r>
      <w:r>
        <w:rPr>
          <w:rFonts w:eastAsia="Times New Roman" w:cs="David" w:ascii="David" w:hAnsi="David"/>
          <w:b/>
          <w:bCs/>
          <w:sz w:val="24"/>
          <w:szCs w:val="24"/>
        </w:rPr>
        <w:t>1500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הנאשם ישלם קנס בסך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</w:rPr>
        <w:t>2</w:t>
      </w:r>
      <w:r>
        <w:rPr>
          <w:rFonts w:eastAsia="Times New Roman" w:cs="David" w:ascii="David" w:hAnsi="David"/>
          <w:b/>
          <w:bCs/>
          <w:sz w:val="24"/>
          <w:szCs w:val="24"/>
        </w:rPr>
        <w:t>,000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eastAsia="Times New Roman" w:cs="David" w:ascii="David" w:hAnsi="David"/>
          <w:b/>
          <w:bCs/>
          <w:sz w:val="24"/>
          <w:szCs w:val="24"/>
        </w:rPr>
        <w:t>50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ימי מאסר תמורת הקנס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הקנס ישולם ב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b/>
          <w:bCs/>
          <w:sz w:val="24"/>
          <w:szCs w:val="24"/>
        </w:rPr>
        <w:t>5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תשלומים חודשיים שווים ורצופים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תשלום ראשון תוך </w:t>
      </w:r>
      <w:r>
        <w:rPr>
          <w:rFonts w:eastAsia="Times New Roman" w:cs="David" w:ascii="David" w:hAnsi="David"/>
          <w:b/>
          <w:bCs/>
          <w:sz w:val="24"/>
          <w:szCs w:val="24"/>
        </w:rPr>
        <w:t>6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חודשים מהיום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כחוק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2" w:name="Nitan"/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תשרי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ספטמבר </w:t>
      </w:r>
      <w:r>
        <w:rPr>
          <w:rFonts w:cs="David" w:ascii="David" w:hAnsi="David"/>
          <w:b/>
          <w:bCs/>
        </w:rPr>
        <w:t>2023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2"/>
      <w:r>
        <w:rPr>
          <w:rFonts w:cs="David" w:ascii="David" w:hAnsi="David"/>
          <w:b/>
          <w:bCs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טל לחיאני שהם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91"/>
      <w:footerReference w:type="default" r:id="rId9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25425-02-22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מהראן אבו עדרה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4z0">
    <w:name w:val="WW8Num4z0"/>
    <w:qFormat/>
    <w:rPr>
      <w:b w:val="false"/>
      <w:bCs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i.a.6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law/70301/275a" TargetMode="External"/><Relationship Id="rId9" Type="http://schemas.openxmlformats.org/officeDocument/2006/relationships/hyperlink" Target="http://www.nevo.co.il/law/70301/332a.a" TargetMode="External"/><Relationship Id="rId10" Type="http://schemas.openxmlformats.org/officeDocument/2006/relationships/hyperlink" Target="http://www.nevo.co.il/law/70301/338.a.1" TargetMode="External"/><Relationship Id="rId11" Type="http://schemas.openxmlformats.org/officeDocument/2006/relationships/hyperlink" Target="http://www.nevo.co.il/law/70301/338.a.3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4" TargetMode="External"/><Relationship Id="rId14" Type="http://schemas.openxmlformats.org/officeDocument/2006/relationships/hyperlink" Target="http://www.nevo.co.il/law/70301/413c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453.b.1" TargetMode="External"/><Relationship Id="rId19" Type="http://schemas.openxmlformats.org/officeDocument/2006/relationships/hyperlink" Target="http://www.nevo.co.il/law/70301/j%5C" TargetMode="External"/><Relationship Id="rId20" Type="http://schemas.openxmlformats.org/officeDocument/2006/relationships/hyperlink" Target="http://www.nevo.co.il/law/70301/j%5C" TargetMode="External"/><Relationship Id="rId21" Type="http://schemas.openxmlformats.org/officeDocument/2006/relationships/hyperlink" Target="http://www.nevo.co.il/law/70301/jCdS" TargetMode="External"/><Relationship Id="rId22" Type="http://schemas.openxmlformats.org/officeDocument/2006/relationships/hyperlink" Target="http://www.nevo.co.il/law/70301/15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75a" TargetMode="External"/><Relationship Id="rId25" Type="http://schemas.openxmlformats.org/officeDocument/2006/relationships/hyperlink" Target="http://www.nevo.co.il/law/70301/338.a.3" TargetMode="External"/><Relationship Id="rId26" Type="http://schemas.openxmlformats.org/officeDocument/2006/relationships/hyperlink" Target="http://www.nevo.co.il/law/70301/453.b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13c" TargetMode="External"/><Relationship Id="rId29" Type="http://schemas.openxmlformats.org/officeDocument/2006/relationships/hyperlink" Target="http://www.nevo.co.il/law/70301/338.a.1" TargetMode="External"/><Relationship Id="rId30" Type="http://schemas.openxmlformats.org/officeDocument/2006/relationships/hyperlink" Target="http://www.nevo.co.il/law/70301/448.a" TargetMode="External"/><Relationship Id="rId31" Type="http://schemas.openxmlformats.org/officeDocument/2006/relationships/hyperlink" Target="http://www.nevo.co.il/law/70301/452" TargetMode="External"/><Relationship Id="rId32" Type="http://schemas.openxmlformats.org/officeDocument/2006/relationships/hyperlink" Target="http://www.nevo.co.il/law/70301/448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79" TargetMode="External"/><Relationship Id="rId35" Type="http://schemas.openxmlformats.org/officeDocument/2006/relationships/hyperlink" Target="http://www.nevo.co.il/law/70301/332a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84" TargetMode="External"/><Relationship Id="rId38" Type="http://schemas.openxmlformats.org/officeDocument/2006/relationships/hyperlink" Target="http://www.nevo.co.il/law/70301/448.a" TargetMode="External"/><Relationship Id="rId39" Type="http://schemas.openxmlformats.org/officeDocument/2006/relationships/hyperlink" Target="http://www.nevo.co.il/law/70301/25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.b2" TargetMode="External"/><Relationship Id="rId42" Type="http://schemas.openxmlformats.org/officeDocument/2006/relationships/hyperlink" Target="http://www.nevo.co.il/law/70301/152" TargetMode="External"/><Relationship Id="rId43" Type="http://schemas.openxmlformats.org/officeDocument/2006/relationships/hyperlink" Target="http://www.nevo.co.il/law/70301/332a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13e" TargetMode="External"/><Relationship Id="rId46" Type="http://schemas.openxmlformats.org/officeDocument/2006/relationships/hyperlink" Target="http://www.nevo.co.il/law/70301/152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13e" TargetMode="External"/><Relationship Id="rId49" Type="http://schemas.openxmlformats.org/officeDocument/2006/relationships/hyperlink" Target="http://www.nevo.co.il/case/13093721" TargetMode="External"/><Relationship Id="rId50" Type="http://schemas.openxmlformats.org/officeDocument/2006/relationships/hyperlink" Target="http://www.nevo.co.il/case/20832658" TargetMode="External"/><Relationship Id="rId51" Type="http://schemas.openxmlformats.org/officeDocument/2006/relationships/hyperlink" Target="http://www.nevo.co.il/case/29428689" TargetMode="External"/><Relationship Id="rId52" Type="http://schemas.openxmlformats.org/officeDocument/2006/relationships/hyperlink" Target="https://www.nevo.co.il/psika_html/elyon/22045850-J01.htm" TargetMode="External"/><Relationship Id="rId53" Type="http://schemas.openxmlformats.org/officeDocument/2006/relationships/hyperlink" Target="https://www.nevo.co.il/psika_html/elyon/22039820-M04.htm" TargetMode="External"/><Relationship Id="rId54" Type="http://schemas.openxmlformats.org/officeDocument/2006/relationships/hyperlink" Target="http://www.nevo.co.il/case/26789718" TargetMode="External"/><Relationship Id="rId55" Type="http://schemas.openxmlformats.org/officeDocument/2006/relationships/hyperlink" Target="http://www.nevo.co.il/case/28243256" TargetMode="External"/><Relationship Id="rId56" Type="http://schemas.openxmlformats.org/officeDocument/2006/relationships/hyperlink" Target="http://www.nevo.co.il/case/27654256" TargetMode="External"/><Relationship Id="rId57" Type="http://schemas.openxmlformats.org/officeDocument/2006/relationships/hyperlink" Target="https://www.nevo.co.il/psika_html/elyon/16097230-A02.htm" TargetMode="External"/><Relationship Id="rId58" Type="http://schemas.openxmlformats.org/officeDocument/2006/relationships/hyperlink" Target="https://www.nevo.co.il/psika_html/elyon/16098210-J05.htm" TargetMode="External"/><Relationship Id="rId59" Type="http://schemas.openxmlformats.org/officeDocument/2006/relationships/hyperlink" Target="https://www.nevo.co.il/psika_html/elyon/16053000-i01.htm" TargetMode="External"/><Relationship Id="rId60" Type="http://schemas.openxmlformats.org/officeDocument/2006/relationships/hyperlink" Target="http://www.nevo.co.il/case/28243256" TargetMode="External"/><Relationship Id="rId61" Type="http://schemas.openxmlformats.org/officeDocument/2006/relationships/hyperlink" Target="https://www.nevo.co.il/psika_html/mechozi/ME-21-07-49353-305.htm" TargetMode="External"/><Relationship Id="rId62" Type="http://schemas.openxmlformats.org/officeDocument/2006/relationships/hyperlink" Target="https://www.nevo.co.il/psika_html/elyon/22000180-F03.htm" TargetMode="External"/><Relationship Id="rId63" Type="http://schemas.openxmlformats.org/officeDocument/2006/relationships/hyperlink" Target="https://www.nevo.co.il/psika_html/elyon/19032530-J05.htm" TargetMode="External"/><Relationship Id="rId64" Type="http://schemas.openxmlformats.org/officeDocument/2006/relationships/hyperlink" Target="http://www.nevo.co.il/case/27723010" TargetMode="External"/><Relationship Id="rId65" Type="http://schemas.openxmlformats.org/officeDocument/2006/relationships/hyperlink" Target="http://www.nevo.co.il/case/21904972" TargetMode="External"/><Relationship Id="rId66" Type="http://schemas.openxmlformats.org/officeDocument/2006/relationships/hyperlink" Target="http://www.nevo.co.il/case/23879124" TargetMode="External"/><Relationship Id="rId67" Type="http://schemas.openxmlformats.org/officeDocument/2006/relationships/hyperlink" Target="https://www.nevo.co.il/psika_html/mechozi/ME-21-07-39587-22.htm" TargetMode="External"/><Relationship Id="rId68" Type="http://schemas.openxmlformats.org/officeDocument/2006/relationships/hyperlink" Target="http://www.nevo.co.il/case/28770694" TargetMode="External"/><Relationship Id="rId69" Type="http://schemas.openxmlformats.org/officeDocument/2006/relationships/hyperlink" Target="http://www.nevo.co.il/law/70301/40i.a.6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28429424" TargetMode="External"/><Relationship Id="rId72" Type="http://schemas.openxmlformats.org/officeDocument/2006/relationships/hyperlink" Target="http://www.nevo.co.il/law/70301/jCdS" TargetMode="External"/><Relationship Id="rId73" Type="http://schemas.openxmlformats.org/officeDocument/2006/relationships/hyperlink" Target="http://www.nevo.co.il/law/70301/j%5C" TargetMode="External"/><Relationship Id="rId74" Type="http://schemas.openxmlformats.org/officeDocument/2006/relationships/hyperlink" Target="http://www.nevo.co.il/law/70301/144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j%5C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144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152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144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152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144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/152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advertisements/nevo-100.doc" TargetMode="External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numbering" Target="numbering.xml"/><Relationship Id="rId94" Type="http://schemas.openxmlformats.org/officeDocument/2006/relationships/fontTable" Target="fontTable.xml"/><Relationship Id="rId95" Type="http://schemas.openxmlformats.org/officeDocument/2006/relationships/settings" Target="settings.xml"/><Relationship Id="rId9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2024-08-26T13:53:00Z</dcterms:created>
  <dc:creator> </dc:creator>
  <dc:description/>
  <cp:keywords/>
  <dc:language>en-IL</dc:language>
  <cp:lastModifiedBy>h1</cp:lastModifiedBy>
  <dcterms:modified xsi:type="dcterms:W3CDTF">2024-08-26T13:53:00Z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מהראן אבו עדרה;בילאל אבו גליון;קארם קאדי;ישמעאל אלקאדי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13093721;20832658;29428689;26789718;28243256:2;27654256;27723010;21904972;23879124;28770694;28429424</vt:lpwstr>
  </property>
  <property fmtid="{D5CDD505-2E9C-101B-9397-08002B2CF9AE}" pid="9" name="CITY">
    <vt:lpwstr>ב"ש</vt:lpwstr>
  </property>
  <property fmtid="{D5CDD505-2E9C-101B-9397-08002B2CF9AE}" pid="10" name="DATE">
    <vt:lpwstr>20230921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טל לחיאני שהם</vt:lpwstr>
  </property>
  <property fmtid="{D5CDD505-2E9C-101B-9397-08002B2CF9AE}" pid="14" name="LAWLISTTMP1">
    <vt:lpwstr>70301/152:6;275a;338.a.3;453.b.1;413c;338.a.1;448.a:3;452;379;332a.a:2;384;025;144.b2;413e:2;040i.a.6;jCdS;j"aCiS;144:4;j"aCe1S</vt:lpwstr>
  </property>
  <property fmtid="{D5CDD505-2E9C-101B-9397-08002B2CF9AE}" pid="15" name="LAWYER">
    <vt:lpwstr>גיורא חזן;אכרם חסונה;אבנר שמש;יוסי זילברברג;נאשף דרויש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25425</vt:lpwstr>
  </property>
  <property fmtid="{D5CDD505-2E9C-101B-9397-08002B2CF9AE}" pid="22" name="NEWPARTB">
    <vt:lpwstr>02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390020230921</vt:lpwstr>
  </property>
  <property fmtid="{D5CDD505-2E9C-101B-9397-08002B2CF9AE}" pid="34" name="TYPE_N_DATE">
    <vt:lpwstr>39020230921</vt:lpwstr>
  </property>
  <property fmtid="{D5CDD505-2E9C-101B-9397-08002B2CF9AE}" pid="35" name="VOLUME">
    <vt:lpwstr/>
  </property>
  <property fmtid="{D5CDD505-2E9C-101B-9397-08002B2CF9AE}" pid="36" name="WORDNUMPAGES">
    <vt:lpwstr>22</vt:lpwstr>
  </property>
</Properties>
</file>