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181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25624-03-22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יאסין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יאסין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12" w:name="ABSTRACT_START"/>
      <w:bookmarkEnd w:id="12"/>
      <w:r>
        <w:rPr>
          <w:rFonts w:ascii="David" w:hAnsi="David" w:eastAsia="Calibri"/>
          <w:rtl w:val="true"/>
        </w:rPr>
        <w:t>הנאשם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כניסה וישיבה בישראל שלא כחוק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12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כניסה לישראל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התשי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1952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עסקה אחרת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3" w:name="ABSTRACT_END"/>
      <w:bookmarkEnd w:id="13"/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הודאת הנאשם ניתנה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 אשר כלל את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שהושגה הסכמה לעניין העונש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לעניין זה יטען כל צד את טענותיו באופן חופשי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מואמן אבו עאסלה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מואמן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ואד אבו ריא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והאדי עאסלה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האדי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הם קרובי משפחה וחברים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אחיו של האדי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באסל עאסלה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באסל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הינו הבעלים של עסק לשטיפת רכבים בעראבה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במהלך שנת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במועדים שאינם ידועים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 הנאשם לישראל ושהה בה לתקופות שונות לסירוגין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בניגוד לחוק וללא אישור כניסה ושהייה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שהותו זו בישראל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במועדים שאינם ידועים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 הנאשם בעסק של באסל ובמסגרת עבודתו הכיר את מואמן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 והאדי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עובר ליום </w:t>
      </w:r>
      <w:r>
        <w:rPr>
          <w:rFonts w:eastAsia="Calibri" w:cs="David" w:ascii="David" w:hAnsi="David"/>
        </w:rPr>
        <w:t>30.10.2021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תכנן מואמן לרכוש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יצר מואמן קשר עם הנאשם ביום </w:t>
      </w:r>
      <w:r>
        <w:rPr>
          <w:rFonts w:eastAsia="Calibri" w:cs="David" w:ascii="David" w:hAnsi="David"/>
        </w:rPr>
        <w:t>30.10.2021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וביקש ממנו לבדוק עבורו אפשרות לרכישת כלי נשק מסוג קרלו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מסר הנאשם למואמן כי יש לו חבר המעוניין למכור כלי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הסוחר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5.11.2021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תיאום מוקדם באמצעות הנאשם בין מואמן לסוחר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מואמן לטול כרם יחד עם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 והאדי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פגש את הנאשם והסוחר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במעמד זה הציג הסוחר למואמן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בנוכחות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תת מקלע מאולתר מסוג קרלו בצבע שחור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שהינו כלי שסוגל לירות כדור או קליע שבכוחם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לאחר שבדק את טיב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סיכם מואמן עם הסוחר כי ירכוש אותו תמורת </w:t>
      </w:r>
      <w:r>
        <w:rPr>
          <w:rFonts w:eastAsia="Calibri" w:cs="David" w:ascii="David" w:hAnsi="David"/>
        </w:rPr>
        <w:t>3,500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>אותם העביר לסוחר במעמד המפגש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הוסכם כי החזקה בנשק תועבר לידי מואמן על ידי הנאשם לאחר שמואמן ייצא משטחי הרשות הפלסטינית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אותו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פגש הנאשם את מואמן בעיר טייבה ומסר לידיו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ומבלי שהיה לנאשם אישור כניסה ושהייה כדין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מואמן לעראבה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 והאדי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את הנשק בתוך שקית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הראיות לעונש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ראיותיה לעונש הגישה המאשימה את תדפיס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הרשעה קודמת אחת מיום </w:t>
      </w:r>
      <w:r>
        <w:rPr>
          <w:rFonts w:eastAsia="Calibri" w:cs="David" w:ascii="David" w:hAnsi="David"/>
        </w:rPr>
        <w:t>1.3.2022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כניסה או ישיבה בישראל שלא כחוק 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בגינן הוטל עליו מאסר מותנה בן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שהינו בר הפעלה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הגישה המאשימה את הכרעת הדין וגזר הדין בתיק מושא ההרשעה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המאשימה הציגה הכרעת דין וגזר דין נוספים שניתנו כנגד הנאשם ביום </w:t>
      </w:r>
      <w:r>
        <w:rPr>
          <w:rFonts w:eastAsia="Calibri" w:cs="David" w:ascii="David" w:hAnsi="David"/>
        </w:rPr>
        <w:t>3/10/2022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 xml:space="preserve">כשבעה חודשים לאחר ביצוע העבירות נשוא תיק זה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58907-07-22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המשפט המחוזי מרכז לוד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בו הורשע הנאשם בעבירה של קשירת קשר לפשע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בגין אותו 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נדון הנאשם למאסר בפועל החופף את תקופת מעצרו מיום </w:t>
      </w:r>
      <w:r>
        <w:rPr>
          <w:rFonts w:eastAsia="Calibri" w:cs="David" w:ascii="David" w:hAnsi="David"/>
        </w:rPr>
        <w:t>18.7.2022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וכן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מטעם ההגנה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עמדה המאשימה על חומרתה של תופעת החזקת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אלמלא הייתה קיימת לא היו מבוצעות עבירות אלימות באמצעות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תופעה זו פוגעת בשלום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בחיי אדם וברכוש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בית המשפט להילחם בה באמצעות הטלת ענישה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עבירת הכניסה לישראל שלא כחוק פוגעת בשלטון החוק ובסדר הציבורי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ליתן את הדעת לסוג הנשק מושא העסקה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תת מקלע מאולתר מסוג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שהינו כלי שסוגל לירות כדור או קליע שבכוחם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שפוטנציאל הנזק הנשקף ממנו רב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בהפנותה לגזר הדין שניתן בעניינם של מואמן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 ומעורב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במקרה דנא אין המדובר בהחזקה תמימה של נשק למטרה שאינה ידועה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השלושה עשו שימוש בנשק זה עת ירו לעבר בניין מפלגת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חד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בעיר סח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והתכוונו לעשות בו שימוש נוסף של ירי לעבר ביתו של אדם החב להם 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נתפסו על ידי 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ביקשה המאשימה להביא בחשבון את חלקו הדומיננטי של הנאשם בעסקת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שאפשר למעשה להוציאה אל הפועל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התכנון שקדם לביצועה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לשיטת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לקבוע שני מתחמי ענישה נפרדים בגין העבירות שיוחסו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 אחת מהן מהווה אירוע עברייני נפרד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שהציגה פסיקה המלמדת לשיטתה על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הנע בין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ביחס לעבירת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ומתחם הנע בין מאסר מותנה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ביחס לעבירת הכניסה לישראל שלא כחוק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ברף האמצעי של המתחמים שהתבקשו על 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ולהפעיל את המאסר המותנה בן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הימים התלוי ועומד כנגדו במצטבר לכל עונש שייגזר עליו בתיק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ביקשה שלא לנכות מהמאסר שיוטל על הנאשם את ימי מעצרו בין </w:t>
      </w:r>
      <w:r>
        <w:rPr>
          <w:rFonts w:eastAsia="Calibri" w:cs="David" w:ascii="David" w:hAnsi="David"/>
        </w:rPr>
        <w:t>18.7.2022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עונש המאסר שנגזר עליו ב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58907-07-22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שצוין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חופף תקופה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ביקשה להשית על הנאשם עונש מאסר מותנה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שלא לקבל את עמדת המאשימה כי יש לקבוע שני מתחמי ענישה נפרדים בגין העבירות בהן הורשע שולחו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כניסתו של הנאשם לישראל הייתה לצורך מסירת הנשק לידי מואמן זמן קצר לאחר שנרכש על ידי האחרון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הסנגור לקבוע מתחם עונש אחד בגין שתי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לא יכול היה לסרב לבקשתו של מואמן כי יכיר לו סוחר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העובדה שאותה עת עבדו השניים בעסק בבעלות בן דודו של מואמן והיו ביניהם יחסי מרות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 היענות לבקשתו של מואמן עלולה הייתה להביא להפסקת עבודתו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לפגיעה כלכלית במשפחתו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המונה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נפשות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ולהפסקת הטיפולים הרפואיים שמקבלת אמו הסובלת ממחלת לב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זה השיקול שניצב לנגד עיני הנאשם כאשר נענה לבקשתו של מואמן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הסנגור בקש לדחות את טענת המאשימה בנוגע לחלקו המשמעותי של הנאשם בביצוע עבירת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באשר לא הוא זה שרכש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מכר אותו או ניהל משא ומתן על מחירו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חלקו הסתכם בעריכת היכרות בין מואמן לבין סוחר הנשק והוא אף לא קיבל כל תמורה בגין תיאום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לכל היותר היה הנאשם מתווך בעסקה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שלשיטת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חלקו לא עולה אפילו כדי 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ההגנה לקבוע מתחם ענישה הנע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הנלמד מהפסיקה אליה הפנתה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בעת גזירת העונש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בגילו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שהיה כבן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בעת ביצוע העבירות והוגדר בפסיקה כבגיר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המבטאת הפנמה של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ובעובדה שהלה שוהה במעצר מזה תקופה ארוכה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הודה הנאשם כי עשה טעות והביע צער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נכנס לישראל על מנת לפרנס את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וכעת הוא מבקש לחזור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להתחתן ולהקים 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כי למד לקח מהמעצר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המהווה חוויה קשה עבורו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יבצע עבירות נוספות ולא ישוב לישראל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לגזור את עונשו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המוגנים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במדיניות הענישה הנוהגת במקרים דומים ובכלל הנסיבות הקשורות בביצוע העבירה כמפורט </w:t>
      </w:r>
      <w:hyperlink r:id="rId16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מביצוע עבירת הנשק בענייננו הם ההגנה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וביטחונו של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העבירה של כניסה וישיבה בישראל שלא כחוק פגעה בערך המוגן של ביטחון המדינה וריבונותה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החומרה היתרה בה מתייחס בית המשפט לעבירות בנשק אין צורך להכביר מלים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היקפן העצום של העבירות הנעשות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הפוגעות בחברה ובמרקם החיים של אוכלוסיות גדולות 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שהן מסבות נזקים הרסניים </w:t>
      </w:r>
      <w:r>
        <w:rPr>
          <w:rFonts w:ascii="David" w:hAnsi="David" w:eastAsia="Calibri"/>
          <w:rtl w:val="true"/>
        </w:rPr>
        <w:t>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בית המשפט למלחמה בתופעה זו בדרך של החמרה בענישה על כלל המעורבים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יפים לעניין זה דברי בית המשפט ב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נשק לסוגיהן היו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בתת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יתירה מכך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עסקינן באיסורים על מעשי הכנה לקראת ביצועם של מעשים פליליים חמורים ומסוכנים עד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מאד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נעשים באמצעות כלי ירייה ואשר כוללים 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במקום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גרימת חבלה והמתה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בדרך 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 הכנה שאינם מגיעים כדי ניסיון לעבור עבירה פלילית אינם בני 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פלר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52-48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כרך ב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תשמ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על מעשי הכנה כאלה נענשים בחומרה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כאמור בסעיף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 זה ועונשים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שחלקם חמורים אף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מוטלים על עברייני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eastAsia="Calibri" w:cs="David" w:ascii="David" w:hAnsi="David"/>
          <w:rtl w:val="true"/>
        </w:rPr>
        <w:t xml:space="preserve">. [...] </w:t>
      </w:r>
      <w:r>
        <w:rPr>
          <w:rFonts w:ascii="David" w:hAnsi="David" w:eastAsia="Calibri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בפסק דין שניתן לאחרונה ב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ציין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שטיין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ראו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)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 על כל בניה ובנותיה – מעברייני נשק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4103/22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אמון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בית משפט זה שב והדגיש את החומרה הרבה הגלומה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טומנות בחובן פוטנציאל פגיעה בחיי האדם ובשלמות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ומסכנות את ביטחון הציבור והסדר הציבורי בכללותו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עניין ביאדסה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29.3.2022</w:t>
      </w:r>
      <w:r>
        <w:rPr>
          <w:rFonts w:eastAsia="Calibri"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5522/20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חלייחל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24.2.2021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חומרתן הרבה של עבירות מסוג זה מתעצמת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משום החשש שישמשו בסיס לביצוע פעילות טרור או פעילות עבריינית </w:t>
      </w:r>
      <w:r>
        <w:rPr>
          <w:rFonts w:eastAsia="Calibri"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גריפאת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22.12.2020</w:t>
      </w:r>
      <w:r>
        <w:rPr>
          <w:rFonts w:eastAsia="Calibri"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135/17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בסל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8.3.2017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שצוין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בנשק במדינת ישראל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ומשכך קיים צורך בענישה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תגביר את ההרתעה מפני ביצוען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לעניין זה יפים דבריו של השופט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עמית בעניין קדורה</w:t>
      </w:r>
      <w:r>
        <w:rPr>
          <w:rFonts w:eastAsia="Calibri" w:cs="David" w:ascii="David" w:hAnsi="David"/>
          <w:rtl w:val="true"/>
        </w:rPr>
        <w:t xml:space="preserve">: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החזקת נשק שלא כדין מאיימת על שלום הציבור ובטחונו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לנוכח היקפן המתרחב של עבירות המבוצעות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הזמינות הבלתי נסבלת של נשק בידי  מי שאינו מורשה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כמו גם לאסונות נוראיים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יעידו על כך ריבוי המקרים במגזר הערבי בעת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מבצרם או בגן השעשועים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כתוצאה משימוש בנשק של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מציאות קשה זו מחייבת לנקוט ביד מחמירה כלפי מעורבים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אף אם הם נעדרי עבר פלילי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ענייננו ב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שהצורך להילחם בה על מנת להגן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מצריך מענה הולם והטלת עונשי מאסר משמעותיים </w:t>
      </w:r>
      <w:r>
        <w:rPr>
          <w:rFonts w:eastAsia="Calibri" w:cs="David" w:ascii="David" w:hAnsi="David"/>
          <w:rtl w:val="true"/>
        </w:rPr>
        <w:t>[...]" (</w:t>
      </w:r>
      <w:r>
        <w:rPr>
          <w:rFonts w:ascii="David" w:hAnsi="David" w:eastAsia="Calibri"/>
          <w:rtl w:val="true"/>
        </w:rPr>
        <w:t>ההדגשות הוספו – ע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 xml:space="preserve">'; 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ראו גם את פסק הדין של השופט 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מזוז ב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סובח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סובח</w:t>
      </w:r>
      <w:r>
        <w:rPr>
          <w:rFonts w:eastAsia="Calibri" w:cs="David" w:ascii="David" w:hAnsi="David"/>
          <w:rtl w:val="true"/>
        </w:rPr>
        <w:t>))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היקף התופעה והצורך במיגורה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אף המחוקק למלחמה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זאת על ידי </w:t>
      </w:r>
      <w:r>
        <w:rPr>
          <w:rFonts w:ascii="David" w:hAnsi="David" w:eastAsia="Calibri"/>
          <w:rtl w:val="true"/>
        </w:rPr>
        <w:t xml:space="preserve">תיקון 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שמטרתו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נועד להילחם בהתפשטות העבירות בנשק בקרב קבוצות גדולות באוכלוסייה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ייחודיות התופעה והשלכותיה החמורות והמחיר שהיא גובה בחיי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החמיר את העונש הקבוע בצדה של עבירת הרכישה של כלי נשק משבע שנות מאסר לעשר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0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 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נכון הוא שאותו תיקון אינו חל בענייננו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ascii="David" w:hAnsi="David" w:eastAsia="Calibri"/>
          <w:rtl w:val="true"/>
        </w:rPr>
        <w:t>העבירות בוצעו טרם כניסתו לתוקף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בו כדי ללמד כי בצוק העתים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ממדי התופעה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אף המחוקק למלחמה בעבירות בנשק על ידי החמרת העונשים המוטלים בגינן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אין בידי לקבל את טענת המאשימה כי יש לקבוע מתחמי ענישה נפרדים בגין כל אחת מהעבירות בהן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העבירה של כניסה לישראל ושהייה בתחומה באופן בלתי חוקי היא זו שאפשרה לנאשם לבצע את עבירת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לכן נראה כי שתי העבירות כרוכות זו בזו וההפרדה בין השתיים תהיה מלאכותית ומאולצת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יפים לעניין זה דברי בית המשפט </w:t>
      </w:r>
      <w:r>
        <w:rPr>
          <w:rFonts w:ascii="David" w:hAnsi="David" w:eastAsia="Calibri"/>
          <w:color w:val="000000"/>
          <w:rtl w:val="true"/>
        </w:rPr>
        <w:t>ב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2240/21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שמואל חיים שחר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08.11.2021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נפסק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Calibri" w:cs="Arial"/>
          <w:color w:val="000000"/>
          <w:sz w:val="22"/>
          <w:szCs w:val="22"/>
        </w:rPr>
      </w:pPr>
      <w:r>
        <w:rPr>
          <w:rFonts w:eastAsia="Calibri" w:cs="Arial" w:ascii="Calibri" w:hAnsi="Calibri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</w:t>
      </w:r>
      <w:r>
        <w:rPr>
          <w:rFonts w:ascii="David" w:hAnsi="David" w:eastAsia="Calibri"/>
          <w:rtl w:val="true"/>
        </w:rPr>
        <w:t>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השלב הראשון בגזירת הדין עבור ביצוע מספר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בחינה אם עבירות אלה מהוות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כמה אירועים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שאז ייקבעו מתחמי ענישה הולמים לכל אחד מאירועים אלה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או שמדובר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אירוע אחד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שבגינו ייקבע מתחם ענישה כולל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סעיף </w:t>
      </w:r>
      <w:r>
        <w:rPr>
          <w:rFonts w:eastAsia="Calibri" w:cs="David" w:ascii="David" w:hAnsi="David"/>
        </w:rPr>
        <w:t>40</w:t>
      </w:r>
      <w:r>
        <w:rPr>
          <w:rFonts w:ascii="David" w:hAnsi="David" w:eastAsia="Calibri"/>
          <w:rtl w:val="true"/>
        </w:rPr>
        <w:t>יג לחוק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וכן</w:t>
      </w:r>
      <w:r>
        <w:rPr>
          <w:rFonts w:eastAsia="Calibri" w:cs="David" w:ascii="David" w:hAnsi="David"/>
          <w:rtl w:val="true"/>
        </w:rPr>
        <w:t xml:space="preserve">: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8641/12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סעד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סו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</w:rPr>
        <w:t>772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790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בתוך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נדרש בית המשפט לבחון אם העבירות הנדונות מקיימות ביניהן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קשר ענייני 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עד כדי שיש לראות בהן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אירוע אחד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כאמור </w:t>
      </w:r>
      <w:r>
        <w:rPr>
          <w:rFonts w:eastAsia="Calibri"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אבר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דעתה של השופטת ד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ברק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ארז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29.10.2014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בבחינה זו ייתן בית המשפט את דעתו על הנסיבות העובדתיות הרלוונטיות לעבירות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יבחן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האם ביצוען של העבירות מאופיין בתכנון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האם ניתן להצביע על שיטתיות בביצוע העבירות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האם העבירות התרחשו בסמיכות של זמן או מקום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u w:val="single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וכיוצא באלו נסיבות עובדתיות</w:t>
      </w:r>
      <w:r>
        <w:rPr>
          <w:rFonts w:eastAsia="Calibri" w:cs="David" w:ascii="David" w:hAnsi="David"/>
          <w:rtl w:val="true"/>
        </w:rPr>
        <w:t>" (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1261/15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דלאל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השופט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סולברג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3.9.2015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ההדגשות במקור</w:t>
      </w:r>
      <w:r>
        <w:rPr>
          <w:rFonts w:eastAsia="Calibri" w:cs="David" w:ascii="David" w:hAnsi="David"/>
          <w:rtl w:val="true"/>
        </w:rPr>
        <w:t>).</w:t>
      </w:r>
      <w:r>
        <w:rPr>
          <w:rFonts w:eastAsia="Calibri" w:cs="David" w:ascii="David" w:hAnsi="David"/>
          <w:rtl w:val="true"/>
        </w:rPr>
        <w:t>...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כן נקבע כי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בבחינת הנסיבות העובדתיות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מן ההכרח לבית המשפט להעמיד לנגד עיניו את השאלה האם השקפה על העבירות כעל כמה אירועים תהא מלאכותית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שיגרע ממהות העניין בכללותו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שלא ישקף את סיפור המעשה כהווייתו</w:t>
      </w:r>
      <w:r>
        <w:rPr>
          <w:rFonts w:eastAsia="Calibri" w:cs="David" w:ascii="David" w:hAnsi="David"/>
          <w:rtl w:val="true"/>
        </w:rPr>
        <w:t>'" (</w:t>
      </w:r>
      <w:r>
        <w:rPr>
          <w:rFonts w:ascii="David" w:hAnsi="David" w:eastAsia="Calibri"/>
          <w:rtl w:val="true"/>
        </w:rPr>
        <w:t xml:space="preserve">ההדגשה אינה במקור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>).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 הבאתי בחשבון את התכנון שהיה כרוך בביצוע עבירת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תכנון זה כלל תיאום בין מואמן לסוחר מטול כרם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נסיעה משותפת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מואמן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ואד והאדי לטול כרם להשלמת העסקה ומפגש בין הנאשם למואמן בעיר טייבה על מנת למסור את הנשק לידי מואמן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הנזק הפוטנציאלי שעלול היה להיגרם כתוצאה מביצוע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הורשע בעבירה של עסקה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הועבר תת מקלע מאולתר מסוג קרלו לידי מואמן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מגזר הדין שהוגש בעניינו של מואמן עולה כי הלה עשה שימוש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אם כי מדובר בנשק אחר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על מנת לבצע ירי לעבר משרדי מפלגת חד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קשר אותו מואמן קשר עם אחרים לבצע ירי לעבר ביתו של תושב סכנין בגין חוב כספי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תוך שימוש בנשק מושא הדיון בענייננו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מזימה זו לא יצאה בסופו של דבר אל הפועל משום שהמשטרה תפסה את הנשק במהלך בדיקה אקראית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אילולא כן אין לדעת את היקף הנזקים שהיו נגרמים כתוצאה מהשימוש בנשק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אבו עבסה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עמד בית המשפט על הפגיעה הרחבה הנגרמת לחברה בכללותה כתוצאה משימוש בנשק המוחזק באופן בלתי חוקי בציינו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שקבעתי במקרה אחר</w:t>
      </w:r>
      <w:r>
        <w:rPr>
          <w:rFonts w:eastAsia="Calibri" w:cs="David" w:ascii="David" w:hAnsi="David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eastAsia="Calibri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בהתאם לזאת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בנסיבות הקשורות בביצוע עבירת הנשק הבאתי בחשבון את חלקו של הנאשם בעסקה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הנאשם הוא זה שסיפק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קישר בין מואמן לבין הסוחר שמכר את הנשק תמורת סך </w:t>
      </w:r>
      <w:r>
        <w:rPr>
          <w:rFonts w:eastAsia="Calibri" w:cs="David" w:ascii="David" w:hAnsi="David"/>
        </w:rPr>
        <w:t>3,500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אולם הטענה כי חלקו התמצה בתיווך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חוטאת לאמת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שהצדדים הישירים לעסקה סיכמו את התמורה ששולמה בשטחי הרשות הפלסטינאית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הוא זה שהכניס את הנשק משטחי הרשות לתחומי מדינת ישראל ומסר אותו לידי מואמן בעיר טייבה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 שאין לומר כי חלקו בעסקה היה שולי או זניח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עיון בפסיקה המתייחסת לעבירות בנשק מלמד על מנעד ענישה רחב אשר תלוי מטבע הדברים בנסיבות הפרטניות של כל מקרה ומקרה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כמות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ביצוע עסקת הנשק ומאפייניו האישיים של המבצע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זאת עברו הפלילי וסיכויי שיקומו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שצוין בהרחבה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מגמת הפסיקה בעבירות בנשק הנה להחמרה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עיון בפסיקה שדנה בעבירות בנשק בנסיבות דומות או קרובות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מלמד על מדיניות ענישה הכוללת בין היתר עונשי מאסר בפועל לתקופה ממושכת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להלן מספר דוגמאות של פסקי דין בהם נדונו עבירות של 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רכישה והחזקה של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ער לכך שחלק מאותם פסקי דין מתייחסים לנסיבות חמורות מאלו שבענייננו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בדוגמאות שלהלן כדי ללמד על מדיניות הענישה הנוהגת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אמארה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בעבירות של סחר בנשק שלא כדין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תת מקלע מסוג 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 שתואמת לנשק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החזקה ונשיאה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ללא רישיון נהיגה תקף וללא פוליסת ביטוח תקפה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עונש של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הפעלת מאסר על תנאי שנגזר עליו בתיק קודם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לעיל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23.1.22</w:t>
      </w:r>
      <w:r>
        <w:rPr>
          <w:rFonts w:eastAsia="Calibri" w:cs="David" w:ascii="David" w:hAnsi="David"/>
          <w:rtl w:val="true"/>
        </w:rPr>
        <w:t xml:space="preserve">)), </w:t>
      </w:r>
      <w:r>
        <w:rPr>
          <w:rFonts w:ascii="David" w:hAnsi="David" w:eastAsia="Calibri"/>
          <w:rtl w:val="true"/>
        </w:rPr>
        <w:t>קיבל בית המשפט העליון את ערעורה של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היה חלק מחבורת צעירים שנהגה לסחור בכלי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 כלי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והורשע בשישה אישומים בעבירות ניסיון ייצור וסחר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ועוון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בנשק ותחמושת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כי העונש שנגזר על המשיב סוטה לקולה באופן קיצוני ואינו מבטא באופן הולם את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8665/21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אגבאריה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בין היתר בעבירות של ייבוא ועשיית 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שלושה תתי מקלעים ומחסניות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וקבע כי אין מקום להתערב בעונש שנגזר על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בשל חומרת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ומדיניות ההחמרה בעבירות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315/20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פתחי אבו טאה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7.6.20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דחה בית המשפט העליון ערעורים על גזר דינו של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הושתו על המערערים עונשי מאסר בפועל של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בגין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ובכללן סחר ועסקה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רובה מסוג קרלו ושני תתי מקלע מאולתרים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באותו מקרה העמיד בית המשפט המחוזי את מתחם הענישה בעניינו של אחד הנאשמים על תקופה שבין 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ומתחם הענישה ההולם בעניינו של האחר על תקופה שבין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קיבל בית המשפט העליון את ערעור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בעבירות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לאחר שביקש לרכוש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תחמושת ולבנת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מאדם אשר נעצר בדרכו ונשא עליו את כלי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כי מתחם הענישה ההולם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עליו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של המשיב על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שנקבע כי גזר הדין שניתן עומד בסתירה למדיניות ההחמרה עם עברייני הנשק לסוגיהם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וכי רק בנסיבות חריגות ביותר יהא ניתן להסתפק בעונש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ב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54607-07-19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בור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12.1.20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הורשע הנאשם בהחזקת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עונש של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זאת לאחר שבית המשפט המחוזי קבע בעניינו מתחם ענישה הנע בין </w:t>
      </w:r>
      <w:r>
        <w:rPr>
          <w:rFonts w:eastAsia="Calibri" w:cs="David" w:ascii="David" w:hAnsi="David"/>
        </w:rPr>
        <w:t>30-20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בעבירה של ניסיון לעסקה אחרת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שקשר עם אחרים קשר לביצוע מכירה והעברה של אקדח ומחסנית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העמיד את מתחם הענישה על תקופה שבין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שענישה מחמירה נדרשת לכל חוליה בשרשרת של עבירת הסחר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1658/20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מאחנה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בעבירות של נשיאה והובלה של נשק ורכישת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עונש של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במקרה הנדון רכש המערער לעצמו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נשק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תמורת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שהוטל על המערער הינו מאוזן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כתוצאה מביצוע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נסיבות ביצוען ואת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בגין שתי העבירות בהן הורשע הנאשם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אני רואה להתחשב בהודאתו שניתנה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בטרם החלה שמיעת הראיות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הודאתו לא זו בלבד שחסכה זמן שיפוטי יקר אלא שהיא מגלמת בחובה נטילת אחריות מצדו על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הבאתי בחשבון גם את הרשעתו הקודמת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מדובר בעבירות חמורות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מנגד גם לא  מדובר במי שזוהי הרשעתו היחידה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יוער כי במסגרת תיק </w:t>
      </w:r>
      <w:r>
        <w:rPr>
          <w:rFonts w:eastAsia="Calibri" w:cs="David" w:ascii="David" w:hAnsi="David"/>
        </w:rPr>
        <w:t>58907-07-22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שהוגש לאחר כתב האישום בתיק דנא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הנאשם בעבירה של קשירת קשר לפשע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שקשר עם אחר קשר לקדם עסקת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תחמושת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כפי העולה מגזר הדין שהוצג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בגין אותה הרשעה נדון הנאשם ביום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למאסר לתקופה החופפת את מעצרו מיום </w:t>
      </w:r>
      <w:r>
        <w:rPr>
          <w:rFonts w:eastAsia="Calibri" w:cs="David" w:ascii="David" w:hAnsi="David"/>
        </w:rPr>
        <w:t>18.7.2022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ימים אלה לא יבואו במניין התקופה לצורך חישוב מאסרו בגין תיק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בניכוי ימי מעצרו מיום </w:t>
      </w:r>
      <w:r>
        <w:rPr>
          <w:rFonts w:eastAsia="Calibri" w:cs="David" w:ascii="David" w:hAnsi="David"/>
        </w:rPr>
        <w:t>28.2.2022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למעט התקופה שבין </w:t>
      </w:r>
      <w:r>
        <w:rPr>
          <w:rFonts w:eastAsia="Calibri" w:cs="David" w:ascii="David" w:hAnsi="David"/>
        </w:rPr>
        <w:t>18.7.2022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שלא תבוא במניין הימים שינוכו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אני מורה על הפעלת המאסר המותנה בן שבועיים שהוטל על הנאשם על ידי בית המשפט המחוזי מרכז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לוד ב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1961-03-22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באופן חופף לעונש המאסר בגין תיק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ממועד שחרורו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עבירת נשק מסוג פשע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4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4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25624-03-22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יאסין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90721/12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8810576" TargetMode="External"/><Relationship Id="rId15" Type="http://schemas.openxmlformats.org/officeDocument/2006/relationships/hyperlink" Target="http://www.nevo.co.il/case/28810576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309272" TargetMode="External"/><Relationship Id="rId19" Type="http://schemas.openxmlformats.org/officeDocument/2006/relationships/hyperlink" Target="http://www.nevo.co.il/safrut/bookgroup/41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8883087" TargetMode="External"/><Relationship Id="rId22" Type="http://schemas.openxmlformats.org/officeDocument/2006/relationships/hyperlink" Target="http://www.nevo.co.il/case/28697227" TargetMode="External"/><Relationship Id="rId23" Type="http://schemas.openxmlformats.org/officeDocument/2006/relationships/hyperlink" Target="http://www.nevo.co.il/case/28697218" TargetMode="External"/><Relationship Id="rId24" Type="http://schemas.openxmlformats.org/officeDocument/2006/relationships/hyperlink" Target="http://www.nevo.co.il/case/28384637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case/27171364" TargetMode="External"/><Relationship Id="rId27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7513365" TargetMode="External"/><Relationship Id="rId33" Type="http://schemas.openxmlformats.org/officeDocument/2006/relationships/hyperlink" Target="http://www.nevo.co.il/case/5573417" TargetMode="External"/><Relationship Id="rId34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case/20033641" TargetMode="External"/><Relationship Id="rId36" Type="http://schemas.openxmlformats.org/officeDocument/2006/relationships/hyperlink" Target="http://www.nevo.co.il/case/27734980" TargetMode="External"/><Relationship Id="rId37" Type="http://schemas.openxmlformats.org/officeDocument/2006/relationships/hyperlink" Target="http://www.nevo.co.il/case/26538254" TargetMode="External"/><Relationship Id="rId38" Type="http://schemas.openxmlformats.org/officeDocument/2006/relationships/hyperlink" Target="http://www.nevo.co.il/case/27734980" TargetMode="External"/><Relationship Id="rId39" Type="http://schemas.openxmlformats.org/officeDocument/2006/relationships/hyperlink" Target="http://www.nevo.co.il/case/26358476" TargetMode="External"/><Relationship Id="rId40" Type="http://schemas.openxmlformats.org/officeDocument/2006/relationships/hyperlink" Target="http://www.nevo.co.il/case/27309272" TargetMode="External"/><Relationship Id="rId41" Type="http://schemas.openxmlformats.org/officeDocument/2006/relationships/hyperlink" Target="http://www.nevo.co.il/case/25890687" TargetMode="External"/><Relationship Id="rId42" Type="http://schemas.openxmlformats.org/officeDocument/2006/relationships/hyperlink" Target="http://www.nevo.co.il/case/26747892" TargetMode="External"/><Relationship Id="rId43" Type="http://schemas.openxmlformats.org/officeDocument/2006/relationships/hyperlink" Target="http://www.nevo.co.il/case/26510968" TargetMode="External"/><Relationship Id="rId44" Type="http://schemas.openxmlformats.org/officeDocument/2006/relationships/hyperlink" Target="http://www.nevo.co.il/case/28364636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יאסין</vt:lpwstr>
  </property>
  <property fmtid="{D5CDD505-2E9C-101B-9397-08002B2CF9AE}" pid="4" name="BOOKGROUPTMP1">
    <vt:lpwstr>412</vt:lpwstr>
  </property>
  <property fmtid="{D5CDD505-2E9C-101B-9397-08002B2CF9AE}" pid="5" name="CASESLISTTMP1">
    <vt:lpwstr>28810576:2;27309272:2;28883087;28697227;28697218;28384637;26905927;27171364;22006503;25824863;27513365;5573417;13093721;20033641;27734980:2;26538254;26358476;25890687;26747892;26510968;28364636</vt:lpwstr>
  </property>
  <property fmtid="{D5CDD505-2E9C-101B-9397-08002B2CF9AE}" pid="6" name="CITY">
    <vt:lpwstr>חי'</vt:lpwstr>
  </property>
  <property fmtid="{D5CDD505-2E9C-101B-9397-08002B2CF9AE}" pid="7" name="DATE">
    <vt:lpwstr>20230123</vt:lpwstr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90721/012.1</vt:lpwstr>
  </property>
  <property fmtid="{D5CDD505-2E9C-101B-9397-08002B2CF9AE}" pid="11" name="LAWLISTTMP2">
    <vt:lpwstr>70301/144.b2;040i;144</vt:lpwstr>
  </property>
  <property fmtid="{D5CDD505-2E9C-101B-9397-08002B2CF9AE}" pid="12" name="LAWYER">
    <vt:lpwstr>מונא מנסור;רסלאן מחאג'נה</vt:lpwstr>
  </property>
  <property fmtid="{D5CDD505-2E9C-101B-9397-08002B2CF9AE}" pid="13" name="NEWPARTA">
    <vt:lpwstr>25624</vt:lpwstr>
  </property>
  <property fmtid="{D5CDD505-2E9C-101B-9397-08002B2CF9AE}" pid="14" name="NEWPARTB">
    <vt:lpwstr>03</vt:lpwstr>
  </property>
  <property fmtid="{D5CDD505-2E9C-101B-9397-08002B2CF9AE}" pid="15" name="NEWPARTC">
    <vt:lpwstr>22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390020230123</vt:lpwstr>
  </property>
  <property fmtid="{D5CDD505-2E9C-101B-9397-08002B2CF9AE}" pid="20" name="TYPE_N_DATE">
    <vt:lpwstr>39020230123</vt:lpwstr>
  </property>
  <property fmtid="{D5CDD505-2E9C-101B-9397-08002B2CF9AE}" pid="21" name="WORDNUMPAGES">
    <vt:lpwstr>12</vt:lpwstr>
  </property>
</Properties>
</file>