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בחדרה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2581-08-10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עטא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נאסר 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השאן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בדרי מוחמד אבו עטא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u w:val="none"/>
          <w:rtl w:val="true"/>
        </w:rPr>
        <w:t xml:space="preserve">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קרן זיגמן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מאיה גלעדי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 xml:space="preserve">בעצמו </w:t>
      </w:r>
    </w:p>
    <w:p>
      <w:pPr>
        <w:pStyle w:val="12"/>
        <w:ind w:end="0"/>
        <w:jc w:val="center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bookmarkStart w:id="3" w:name="LawTable"/>
      <w:bookmarkEnd w:id="3"/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</w:hyperlink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4" w:name="LawTable_End"/>
      <w:bookmarkStart w:id="5" w:name="LawTable_End"/>
      <w:bookmarkEnd w:id="5"/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</w:rPr>
      </w:pPr>
      <w:r>
        <w:rPr>
          <w:sz w:val="6"/>
          <w:szCs w:val="6"/>
          <w:rtl w:val="true"/>
        </w:rPr>
        <w:t>&gt;</w:t>
      </w:r>
    </w:p>
    <w:p>
      <w:pPr>
        <w:pStyle w:val="David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/>
        <w:t>1</w:t>
      </w:r>
      <w:bookmarkStart w:id="9" w:name="ABSTRACT_START"/>
      <w:bookmarkEnd w:id="9"/>
      <w:r>
        <w:rPr>
          <w:rtl w:val="true"/>
        </w:rPr>
        <w:t xml:space="preserve">.         </w:t>
      </w:r>
      <w:r>
        <w:rPr>
          <w:rtl w:val="true"/>
        </w:rPr>
        <w:t>הנאשם הורשע עפ</w:t>
      </w:r>
      <w:r>
        <w:rPr>
          <w:rtl w:val="true"/>
        </w:rPr>
        <w:t>"</w:t>
      </w:r>
      <w:r>
        <w:rPr>
          <w:rtl w:val="true"/>
        </w:rPr>
        <w:t>י הודאתו בעבירות שיוחסו לו בכתב האישום</w:t>
      </w:r>
      <w:r>
        <w:rPr>
          <w:rtl w:val="true"/>
        </w:rPr>
        <w:t xml:space="preserve">: </w:t>
      </w:r>
      <w:r>
        <w:rPr>
          <w:rtl w:val="true"/>
        </w:rPr>
        <w:t>העסקת שוהה בלתי חוקי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 הכניסה לישראל</w:t>
        </w:r>
      </w:hyperlink>
      <w:r>
        <w:rPr>
          <w:rtl w:val="true"/>
        </w:rPr>
        <w:t xml:space="preserve"> 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1952</w:t>
      </w:r>
      <w:r>
        <w:rPr>
          <w:rtl w:val="true"/>
        </w:rPr>
        <w:t xml:space="preserve">; </w:t>
      </w:r>
      <w:r>
        <w:rPr>
          <w:rtl w:val="true"/>
        </w:rPr>
        <w:t>החזקת חלק</w:t>
      </w:r>
      <w:r>
        <w:rPr>
          <w:rtl w:val="true"/>
        </w:rPr>
        <w:t xml:space="preserve">, </w:t>
      </w:r>
      <w:r>
        <w:rPr>
          <w:rtl w:val="true"/>
        </w:rPr>
        <w:t xml:space="preserve">אביזר ותחמושת של כלי נשק  </w:t>
      </w:r>
      <w:r>
        <w:rPr>
          <w:rtl w:val="true"/>
        </w:rPr>
        <w:t xml:space="preserve">- </w:t>
      </w:r>
      <w:r>
        <w:rPr>
          <w:rtl w:val="true"/>
        </w:rPr>
        <w:t xml:space="preserve">עבירה לפי </w:t>
      </w:r>
      <w:hyperlink r:id="rId11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 העונשין</w:t>
      </w:r>
      <w:r>
        <w:rPr>
          <w:rtl w:val="true"/>
        </w:rPr>
        <w:t xml:space="preserve">); </w:t>
      </w:r>
      <w:r>
        <w:rPr>
          <w:rtl w:val="true"/>
        </w:rPr>
        <w:t>החזקת רכוש החשוד כגנוב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3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 xml:space="preserve">.         </w:t>
      </w:r>
      <w:r>
        <w:rPr>
          <w:rtl w:val="true"/>
        </w:rPr>
        <w:t>ואלה הן עובדות כתב האישום בהן הודה הנאשם</w:t>
      </w:r>
      <w:r>
        <w:rPr>
          <w:rtl w:val="true"/>
        </w:rPr>
        <w:t xml:space="preserve">: </w:t>
      </w:r>
      <w:r>
        <w:rPr>
          <w:rtl w:val="true"/>
        </w:rPr>
        <w:t xml:space="preserve">בתאריך </w:t>
      </w:r>
      <w:r>
        <w:rPr/>
        <w:t>27.07.10</w:t>
      </w:r>
      <w:r>
        <w:rPr>
          <w:rtl w:val="true"/>
        </w:rPr>
        <w:t xml:space="preserve"> </w:t>
      </w:r>
      <w:r>
        <w:rPr>
          <w:rtl w:val="true"/>
        </w:rPr>
        <w:t xml:space="preserve">בסביבות השעה </w:t>
      </w:r>
      <w:r>
        <w:rPr/>
        <w:t>16:00</w:t>
      </w:r>
      <w:r>
        <w:rPr>
          <w:rtl w:val="true"/>
        </w:rPr>
        <w:t xml:space="preserve"> </w:t>
      </w:r>
      <w:r>
        <w:rPr>
          <w:rtl w:val="true"/>
        </w:rPr>
        <w:t>בכפר קרע</w:t>
      </w:r>
      <w:r>
        <w:rPr>
          <w:rtl w:val="true"/>
        </w:rPr>
        <w:t xml:space="preserve">, </w:t>
      </w:r>
      <w:r>
        <w:rPr>
          <w:rtl w:val="true"/>
        </w:rPr>
        <w:t>העסיק הנאשם בעבודות בניה את טועמה סנד ת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 xml:space="preserve">.  </w:t>
      </w:r>
      <w:r>
        <w:rPr/>
        <w:t>xxxxxxxxxx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tl w:val="true"/>
        </w:rPr>
        <w:t xml:space="preserve">), </w:t>
      </w:r>
      <w:r>
        <w:rPr>
          <w:rtl w:val="true"/>
        </w:rPr>
        <w:t>שהינו תושב זר</w:t>
      </w:r>
      <w:r>
        <w:rPr>
          <w:rtl w:val="true"/>
        </w:rPr>
        <w:t xml:space="preserve">, </w:t>
      </w:r>
      <w:r>
        <w:rPr>
          <w:rtl w:val="true"/>
        </w:rPr>
        <w:t>ללא שהיה בידיו אישור כניסה או שהייה בישראל על פי דין</w:t>
      </w:r>
      <w:r>
        <w:rPr>
          <w:rtl w:val="true"/>
        </w:rPr>
        <w:t xml:space="preserve">. </w:t>
      </w:r>
      <w:r>
        <w:rPr>
          <w:rtl w:val="true"/>
        </w:rPr>
        <w:t xml:space="preserve">באותן הנסיבות נתפס הנאשם כאשר הוא מחזיק ברשותו חמש מחסניות 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148</w:t>
      </w:r>
      <w:r>
        <w:rPr>
          <w:rtl w:val="true"/>
        </w:rPr>
        <w:t xml:space="preserve"> </w:t>
      </w:r>
      <w:r>
        <w:rPr>
          <w:rtl w:val="true"/>
        </w:rPr>
        <w:t xml:space="preserve">קליעים בקוטר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וכן ארבע מצלמות</w:t>
      </w:r>
      <w:r>
        <w:rPr>
          <w:rtl w:val="true"/>
        </w:rPr>
        <w:t xml:space="preserve">; </w:t>
      </w:r>
      <w:r>
        <w:rPr>
          <w:rtl w:val="true"/>
        </w:rPr>
        <w:t xml:space="preserve">שתיים מתוכן מסוג </w:t>
      </w:r>
      <w:r>
        <w:rPr/>
        <w:t>FOHU</w:t>
      </w:r>
      <w:r>
        <w:rPr>
          <w:rtl w:val="true"/>
        </w:rPr>
        <w:t xml:space="preserve"> </w:t>
      </w:r>
      <w:r>
        <w:rPr>
          <w:rtl w:val="true"/>
        </w:rPr>
        <w:t>בבעלות חברת אחים בדחי 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והאחרות</w:t>
      </w:r>
      <w:r>
        <w:rPr>
          <w:rtl w:val="true"/>
        </w:rPr>
        <w:t xml:space="preserve">- </w:t>
      </w:r>
      <w:r>
        <w:rPr>
          <w:rtl w:val="true"/>
        </w:rPr>
        <w:t>לא ידוע מיהו בעליהן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 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 xml:space="preserve">.         </w:t>
      </w:r>
      <w:r>
        <w:rPr>
          <w:rtl w:val="true"/>
        </w:rPr>
        <w:t>המאשימה טענה כי יש להחמיר עם הנאשם</w:t>
      </w:r>
      <w:r>
        <w:rPr>
          <w:rtl w:val="true"/>
        </w:rPr>
        <w:t xml:space="preserve">, </w:t>
      </w:r>
      <w:r>
        <w:rPr>
          <w:rtl w:val="true"/>
        </w:rPr>
        <w:t>שכן עבירות נשק הינן עבירות חמורות להן נקבע רף ענישה של מאסר בפועל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נלוו לעבירת הנשק עבירות נוספות</w:t>
      </w:r>
      <w:r>
        <w:rPr>
          <w:rtl w:val="true"/>
        </w:rPr>
        <w:t xml:space="preserve">. </w:t>
      </w:r>
      <w:r>
        <w:rPr>
          <w:rtl w:val="true"/>
        </w:rPr>
        <w:t>עוד טענה המאשימה כי לחובת הנאשם מאסר מותנה בר הפעלה בן שמונה חודשים</w:t>
      </w:r>
      <w:r>
        <w:rPr>
          <w:rtl w:val="true"/>
        </w:rPr>
        <w:t xml:space="preserve">. </w:t>
      </w:r>
      <w:r>
        <w:rPr>
          <w:rtl w:val="true"/>
        </w:rPr>
        <w:t>כן טענה היא כי מתסקיר שירות המבחן עולה כי הנאשם אינו לוקח אחריות על מעשיו אלא מציג עצמו כקרבן</w:t>
      </w:r>
      <w:r>
        <w:rPr>
          <w:rtl w:val="true"/>
        </w:rPr>
        <w:t xml:space="preserve">, </w:t>
      </w:r>
      <w:r>
        <w:rPr>
          <w:rtl w:val="true"/>
        </w:rPr>
        <w:t>הגם שבהודעותיו במשטרה ובדו</w:t>
      </w:r>
      <w:r>
        <w:rPr>
          <w:rtl w:val="true"/>
        </w:rPr>
        <w:t>"</w:t>
      </w:r>
      <w:r>
        <w:rPr>
          <w:rtl w:val="true"/>
        </w:rPr>
        <w:t>ח המעצר שנעשו בסמוך לאירוע מודה הוא כי לקח האביזרים והתחמושת מבסיס צבאי נטוש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כך לטענת המאשימה</w:t>
      </w:r>
      <w:r>
        <w:rPr>
          <w:rtl w:val="true"/>
        </w:rPr>
        <w:t xml:space="preserve">, </w:t>
      </w:r>
      <w:r>
        <w:rPr>
          <w:rtl w:val="true"/>
        </w:rPr>
        <w:t>אין ערובה לכך שהנאשם לא ישוב לסורו</w:t>
      </w:r>
      <w:r>
        <w:rPr>
          <w:rtl w:val="true"/>
        </w:rPr>
        <w:t xml:space="preserve">, </w:t>
      </w:r>
      <w:r>
        <w:rPr>
          <w:rtl w:val="true"/>
        </w:rPr>
        <w:t>ועל כן עותרת היא להפעלת המאסר המותנה במצטבר עם עונש מאסר נוסף ועונש מאסר מותנה</w:t>
      </w:r>
      <w:r>
        <w:rPr>
          <w:rtl w:val="true"/>
        </w:rPr>
        <w:t xml:space="preserve">. </w:t>
      </w:r>
      <w:r>
        <w:rPr>
          <w:rtl w:val="true"/>
        </w:rPr>
        <w:t>כן עותרת היא לחילוט הרכוש החשוד כגנוב</w:t>
      </w:r>
      <w:r>
        <w:rPr>
          <w:rtl w:val="true"/>
        </w:rPr>
        <w:t xml:space="preserve">, </w:t>
      </w:r>
      <w:r>
        <w:rPr>
          <w:rtl w:val="true"/>
        </w:rPr>
        <w:t>למעט זה השייך למתלונן</w:t>
      </w:r>
      <w:r>
        <w:rPr>
          <w:rtl w:val="true"/>
        </w:rPr>
        <w:t xml:space="preserve">, </w:t>
      </w:r>
      <w:r>
        <w:rPr>
          <w:rtl w:val="true"/>
        </w:rPr>
        <w:t>וכן לחילוט התחמושת והאביזרים ולהשבתם לידי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טענת הנאשם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 xml:space="preserve">.         </w:t>
      </w:r>
      <w:r>
        <w:rPr>
          <w:rtl w:val="true"/>
        </w:rPr>
        <w:t>הנאשם טוען כי הודה בעבירות בהזדמנות הראשונה</w:t>
      </w:r>
      <w:r>
        <w:rPr>
          <w:rtl w:val="true"/>
        </w:rPr>
        <w:t xml:space="preserve">, </w:t>
      </w:r>
      <w:r>
        <w:rPr>
          <w:rtl w:val="true"/>
        </w:rPr>
        <w:t>ומטעם זה יש להקל בעונשו</w:t>
      </w:r>
      <w:r>
        <w:rPr>
          <w:rtl w:val="true"/>
        </w:rPr>
        <w:t xml:space="preserve">. </w:t>
      </w:r>
      <w:r>
        <w:rPr>
          <w:rtl w:val="true"/>
        </w:rPr>
        <w:t>בעניין השב</w:t>
      </w:r>
      <w:r>
        <w:rPr>
          <w:rtl w:val="true"/>
        </w:rPr>
        <w:t>"</w:t>
      </w:r>
      <w:r>
        <w:rPr>
          <w:rtl w:val="true"/>
        </w:rPr>
        <w:t>ח טוען הנאשם כי המדובר בפועלים שבאו לשפץ ביתו בטרם יישא את אשתו המיועדת</w:t>
      </w:r>
      <w:r>
        <w:rPr>
          <w:rtl w:val="true"/>
        </w:rPr>
        <w:t xml:space="preserve">, </w:t>
      </w:r>
      <w:r>
        <w:rPr>
          <w:rtl w:val="true"/>
        </w:rPr>
        <w:t>כאשר אחיו הוא שסגר את העסקה עם קבלן שמסתובב בכפר</w:t>
      </w:r>
      <w:r>
        <w:rPr>
          <w:rtl w:val="true"/>
        </w:rPr>
        <w:t xml:space="preserve">, </w:t>
      </w:r>
      <w:r>
        <w:rPr>
          <w:rtl w:val="true"/>
        </w:rPr>
        <w:t>ועל כן עבירה זו הינה מהרף הנמוך של עבירות העסקת שב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 xml:space="preserve">.         </w:t>
      </w:r>
      <w:r>
        <w:rPr>
          <w:rtl w:val="true"/>
        </w:rPr>
        <w:t>באשר לרכוש החשוד כגנוב</w:t>
      </w:r>
      <w:r>
        <w:rPr>
          <w:rtl w:val="true"/>
        </w:rPr>
        <w:t xml:space="preserve">, </w:t>
      </w:r>
      <w:r>
        <w:rPr>
          <w:rtl w:val="true"/>
        </w:rPr>
        <w:t>טוען הנאשם כי הוא מצא את הקבלות וכי הוא יכול להציגן</w:t>
      </w:r>
      <w:r>
        <w:rPr>
          <w:rtl w:val="true"/>
        </w:rPr>
        <w:t xml:space="preserve">, </w:t>
      </w:r>
      <w:r>
        <w:rPr>
          <w:rtl w:val="true"/>
        </w:rPr>
        <w:t>זאת טוען הנאשם מבלי לגרוע מהודאתו בכל העבירות המיוחסות לו</w:t>
      </w:r>
      <w:r>
        <w:rPr>
          <w:rtl w:val="true"/>
        </w:rPr>
        <w:t xml:space="preserve">, </w:t>
      </w:r>
      <w:r>
        <w:rPr>
          <w:rtl w:val="true"/>
        </w:rPr>
        <w:t xml:space="preserve">ואילו לגבי המחסניות שנתפסו בחזקתו טען הנאשם כי הוא אסף אותן </w:t>
      </w:r>
      <w:r>
        <w:rPr>
          <w:rtl w:val="true"/>
        </w:rPr>
        <w:t>"</w:t>
      </w:r>
      <w:r>
        <w:rPr>
          <w:rtl w:val="true"/>
        </w:rPr>
        <w:t>מבסיס שעבר ממקום למקום</w:t>
      </w:r>
      <w:r>
        <w:rPr>
          <w:rtl w:val="true"/>
        </w:rPr>
        <w:t>"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 xml:space="preserve">.         </w:t>
      </w:r>
      <w:r>
        <w:rPr>
          <w:rtl w:val="true"/>
        </w:rPr>
        <w:t>עוד מדגישה הסנגורית את האמור בתסקיר שירות המבחן אודות הנאשם ואת המלצת שירות המבחן לפיה בעניינו של הנאשם ראוי להדגיש את האופי השיקומי</w:t>
      </w:r>
      <w:r>
        <w:rPr>
          <w:rtl w:val="true"/>
        </w:rPr>
        <w:t xml:space="preserve">. </w:t>
      </w:r>
      <w:r>
        <w:rPr>
          <w:rtl w:val="true"/>
        </w:rPr>
        <w:t xml:space="preserve">עוד מוסיפה הסנגורית כי יש להתחשב בעבודה כי הנאשם שהה במעצר למשך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 ולאחר מכן הוא שהה כששה חודשים במעצר בית עם איזוק אלקטרוני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 xml:space="preserve">.         </w:t>
      </w:r>
      <w:r>
        <w:rPr>
          <w:rtl w:val="true"/>
        </w:rPr>
        <w:t xml:space="preserve">בתסקיר שירות המבחן מיום </w:t>
      </w:r>
      <w:r>
        <w:rPr/>
        <w:t>11.1.2011</w:t>
      </w:r>
      <w:r>
        <w:rPr>
          <w:rtl w:val="true"/>
        </w:rPr>
        <w:t xml:space="preserve"> </w:t>
      </w:r>
      <w:r>
        <w:rPr>
          <w:rtl w:val="true"/>
        </w:rPr>
        <w:t>שהוכן בעניינו של הנאשם</w:t>
      </w:r>
      <w:r>
        <w:rPr>
          <w:rtl w:val="true"/>
        </w:rPr>
        <w:t xml:space="preserve">, </w:t>
      </w:r>
      <w:r>
        <w:rPr>
          <w:rtl w:val="true"/>
        </w:rPr>
        <w:t>לא הסתיר שירות המבחן את לבטיו</w:t>
      </w:r>
      <w:r>
        <w:rPr>
          <w:rtl w:val="true"/>
        </w:rPr>
        <w:t xml:space="preserve">, </w:t>
      </w:r>
      <w:r>
        <w:rPr>
          <w:rtl w:val="true"/>
        </w:rPr>
        <w:t>מאחר והנאשם לא נוטל אחריות לגבי המיוחס לו</w:t>
      </w:r>
      <w:r>
        <w:rPr>
          <w:rtl w:val="true"/>
        </w:rPr>
        <w:t xml:space="preserve">. </w:t>
      </w:r>
      <w:r>
        <w:rPr>
          <w:rtl w:val="true"/>
        </w:rPr>
        <w:t>שירות המבחן אף הביא בפני בית המשפט את שלל גרסאותיו של הנאשם לגבי המיוחס לו</w:t>
      </w:r>
      <w:r>
        <w:rPr>
          <w:rtl w:val="true"/>
        </w:rPr>
        <w:t xml:space="preserve">. </w:t>
      </w:r>
      <w:r>
        <w:rPr>
          <w:rtl w:val="true"/>
        </w:rPr>
        <w:t xml:space="preserve">יחד עם זאת סבר שירות המבחן כי לאור העובדה כי ביום </w:t>
      </w:r>
      <w:r>
        <w:rPr/>
        <w:t>5.7.2010</w:t>
      </w:r>
      <w:r>
        <w:rPr>
          <w:rtl w:val="true"/>
        </w:rPr>
        <w:t xml:space="preserve"> </w:t>
      </w:r>
      <w:r>
        <w:rPr>
          <w:rtl w:val="true"/>
        </w:rPr>
        <w:t xml:space="preserve">הוטל על הנאשם צו מבחן למשך שנה </w:t>
      </w:r>
      <w:r>
        <w:rPr>
          <w:rtl w:val="true"/>
        </w:rPr>
        <w:t xml:space="preserve">-  </w:t>
      </w:r>
      <w:r>
        <w:rPr>
          <w:rtl w:val="true"/>
        </w:rPr>
        <w:t xml:space="preserve">במסגרתו משתתף הנאשם בקבוצה שטיפולית בנושא </w:t>
      </w:r>
      <w:r>
        <w:rPr>
          <w:rtl w:val="true"/>
        </w:rPr>
        <w:t>"</w:t>
      </w:r>
      <w:r>
        <w:rPr>
          <w:rtl w:val="true"/>
        </w:rPr>
        <w:t>דפוסים מכשילים</w:t>
      </w:r>
      <w:r>
        <w:rPr>
          <w:rtl w:val="true"/>
        </w:rPr>
        <w:t xml:space="preserve">", </w:t>
      </w:r>
      <w:r>
        <w:rPr>
          <w:rtl w:val="true"/>
        </w:rPr>
        <w:t>ראוי לשקול את האפשרות שהנאשם ימצה את צו המבחן שהוטל עליו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 xml:space="preserve">.        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המליץ שירות המבחן שלא למצות עם הנאשם את הדין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לא המליץ שירות המבחן על תקופת מבחן מקבילה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הכרעה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 xml:space="preserve">.         </w:t>
      </w:r>
      <w:r>
        <w:rPr>
          <w:rtl w:val="true"/>
        </w:rPr>
        <w:t>אציין כבר עתה</w:t>
      </w:r>
      <w:r>
        <w:rPr>
          <w:rtl w:val="true"/>
        </w:rPr>
        <w:t xml:space="preserve">, </w:t>
      </w:r>
      <w:r>
        <w:rPr>
          <w:rtl w:val="true"/>
        </w:rPr>
        <w:t xml:space="preserve">שאף שהמאשימה ביקשה להפעיל את המאסר המותנה שהוטל במסגרת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 xml:space="preserve">פ </w:t>
      </w:r>
      <w:r>
        <w:rPr>
          <w:color w:val="000000"/>
        </w:rPr>
        <w:t>1766/07</w:t>
      </w:r>
      <w:r>
        <w:rPr>
          <w:rtl w:val="true"/>
        </w:rPr>
        <w:t xml:space="preserve"> </w:t>
      </w:r>
      <w:r>
        <w:rPr>
          <w:rtl w:val="true"/>
        </w:rPr>
        <w:t xml:space="preserve">ואילו הנאשם ביקש להאריך את </w:t>
      </w:r>
      <w:r>
        <w:rPr>
          <w:rtl w:val="true"/>
        </w:rPr>
        <w:t>"</w:t>
      </w:r>
      <w:r>
        <w:rPr>
          <w:rtl w:val="true"/>
        </w:rPr>
        <w:t>תקופת התנאי</w:t>
      </w:r>
      <w:r>
        <w:rPr>
          <w:rtl w:val="true"/>
        </w:rPr>
        <w:t xml:space="preserve">", </w:t>
      </w:r>
      <w:r>
        <w:rPr>
          <w:rtl w:val="true"/>
        </w:rPr>
        <w:t>הגעתי למסקנה כי אין מקום להפעיל את המאסר המותנה מאחר והתנאי אינו מתמלא בעניננו</w:t>
      </w:r>
      <w:r>
        <w:rPr>
          <w:rtl w:val="true"/>
        </w:rPr>
        <w:t xml:space="preserve">. </w:t>
      </w:r>
      <w:r>
        <w:rPr>
          <w:rtl w:val="true"/>
        </w:rPr>
        <w:t>בית המשפט אשר הטיל את העונש המותנה הטיל על הנאשם מאסר מותנה למשך שמונה חדשים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שהנאשם לא יעבור למשך שלוש שנים עבירה בניגוד </w:t>
      </w:r>
      <w:hyperlink r:id="rId14">
        <w:r>
          <w:rPr>
            <w:rStyle w:val="Hyperlink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ועבירה כלפי הרכוש </w:t>
      </w:r>
      <w:r>
        <w:rPr>
          <w:b/>
          <w:b/>
          <w:bCs/>
          <w:rtl w:val="true"/>
        </w:rPr>
        <w:t>שענשה שנתיים מאסר ומעלה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 xml:space="preserve">.        </w:t>
      </w:r>
      <w:r>
        <w:rPr>
          <w:rtl w:val="true"/>
        </w:rPr>
        <w:t>עבירת הרכוש בה הורשע הנאשם בעניינו היא עבירת אחזקת רכוש החשוד כגנוב</w:t>
      </w:r>
      <w:r>
        <w:rPr>
          <w:rtl w:val="true"/>
        </w:rPr>
        <w:t xml:space="preserve">. </w:t>
      </w:r>
      <w:r>
        <w:rPr>
          <w:rtl w:val="true"/>
        </w:rPr>
        <w:t xml:space="preserve">אף שבעבירה זו הורשע הנאשם במסגרת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 xml:space="preserve">פ </w:t>
      </w:r>
      <w:r>
        <w:rPr>
          <w:color w:val="000000"/>
        </w:rPr>
        <w:t>1766/07</w:t>
      </w:r>
      <w:r>
        <w:rPr>
          <w:rtl w:val="true"/>
        </w:rPr>
        <w:t xml:space="preserve"> </w:t>
      </w:r>
      <w:r>
        <w:rPr>
          <w:rtl w:val="true"/>
        </w:rPr>
        <w:t xml:space="preserve">אלא שהרשעתו בה בשנית אין בה כדי להפעיל את התנאי מאחר והעונש הקבוע בחוק בגין עבירה זו אינו עולה על שנתיים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16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הקובע עונש מאסר של ששה חודשים בצידה של העבירה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 xml:space="preserve">.        </w:t>
      </w:r>
      <w:r>
        <w:rPr>
          <w:rtl w:val="true"/>
        </w:rPr>
        <w:t>המסקנה היא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 אין להפעיל את המאסר המותנה מאחר ולא התקיימו התנאים להפעלתו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 xml:space="preserve">.        </w:t>
      </w:r>
      <w:r>
        <w:rPr>
          <w:rtl w:val="true"/>
        </w:rPr>
        <w:t>בבואי לגזור את דינו של הנאשם</w:t>
      </w:r>
      <w:r>
        <w:rPr>
          <w:rtl w:val="true"/>
        </w:rPr>
        <w:t xml:space="preserve">, </w:t>
      </w:r>
      <w:r>
        <w:rPr>
          <w:rtl w:val="true"/>
        </w:rPr>
        <w:t>איני יכול להתעלם מן הדברים שנקבעו ע</w:t>
      </w:r>
      <w:r>
        <w:rPr>
          <w:rtl w:val="true"/>
        </w:rPr>
        <w:t>"</w:t>
      </w:r>
      <w:r>
        <w:rPr>
          <w:rtl w:val="true"/>
        </w:rPr>
        <w:t>י שירות המבחן ולפיהם הנאשם אינו נוטל אחריות על מעשיו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tl w:val="true"/>
        </w:rPr>
        <w:t xml:space="preserve">, </w:t>
      </w:r>
      <w:r>
        <w:rPr>
          <w:rtl w:val="true"/>
        </w:rPr>
        <w:t>שהנאשם החל הליך טיפולי שיקומי במסגרת צו מבחן שהוטל על הנאשם</w:t>
      </w:r>
      <w:r>
        <w:rPr>
          <w:rtl w:val="true"/>
        </w:rPr>
        <w:t xml:space="preserve">, </w:t>
      </w:r>
      <w:r>
        <w:rPr>
          <w:rtl w:val="true"/>
        </w:rPr>
        <w:t>וכי ההליך הנ</w:t>
      </w:r>
      <w:r>
        <w:rPr>
          <w:rtl w:val="true"/>
        </w:rPr>
        <w:t>"</w:t>
      </w:r>
      <w:r>
        <w:rPr>
          <w:rtl w:val="true"/>
        </w:rPr>
        <w:t>ל מתקדם והינו חיוני להתמודדות הנאשם עם דפוסי התנהגות מכשילים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 xml:space="preserve">.       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העבירות אותן ביצע הנאשם הינן עבירות חמורות</w:t>
      </w:r>
      <w:r>
        <w:rPr>
          <w:rtl w:val="true"/>
        </w:rPr>
        <w:t xml:space="preserve">, </w:t>
      </w:r>
      <w:r>
        <w:rPr>
          <w:rtl w:val="true"/>
        </w:rPr>
        <w:t>באשר להעסקת שב</w:t>
      </w:r>
      <w:r>
        <w:rPr>
          <w:rtl w:val="true"/>
        </w:rPr>
        <w:t>"</w:t>
      </w:r>
      <w:r>
        <w:rPr>
          <w:rtl w:val="true"/>
        </w:rPr>
        <w:t>ח בביתו של הנאשם</w:t>
      </w:r>
      <w:r>
        <w:rPr>
          <w:rtl w:val="true"/>
        </w:rPr>
        <w:t xml:space="preserve">, </w:t>
      </w:r>
      <w:r>
        <w:rPr>
          <w:rtl w:val="true"/>
        </w:rPr>
        <w:t>למרות שנסיבות ביצוע העבירה אינן מן החמורות</w:t>
      </w:r>
      <w:r>
        <w:rPr>
          <w:rtl w:val="true"/>
        </w:rPr>
        <w:t xml:space="preserve">, </w:t>
      </w:r>
      <w:r>
        <w:rPr>
          <w:rtl w:val="true"/>
        </w:rPr>
        <w:t>שכן לא מדובר בהסעה או בהלנת השב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אולם עסקינן בעבירה חמורה</w:t>
      </w:r>
      <w:r>
        <w:rPr>
          <w:rtl w:val="true"/>
        </w:rPr>
        <w:t xml:space="preserve">. </w:t>
      </w:r>
      <w:r>
        <w:rPr>
          <w:rtl w:val="true"/>
        </w:rPr>
        <w:t>אף החזקת התחמושת נכללת בין עבירות הנשק אותן יש לשרש</w:t>
      </w:r>
      <w:r>
        <w:rPr>
          <w:rtl w:val="true"/>
        </w:rPr>
        <w:t xml:space="preserve">. </w:t>
      </w:r>
      <w:r>
        <w:rPr>
          <w:rtl w:val="true"/>
        </w:rPr>
        <w:t>עבירות אלה הן עבירות חמורות</w:t>
      </w:r>
      <w:r>
        <w:rPr>
          <w:rtl w:val="true"/>
        </w:rPr>
        <w:t xml:space="preserve">, </w:t>
      </w:r>
      <w:r>
        <w:rPr>
          <w:rtl w:val="true"/>
        </w:rPr>
        <w:t>שיש בהן כדי להפר את הסדר הציבורי ולסכן חיי אדם</w:t>
      </w:r>
      <w:r>
        <w:rPr>
          <w:rtl w:val="true"/>
        </w:rPr>
        <w:t xml:space="preserve">, </w:t>
      </w:r>
      <w:r>
        <w:rPr>
          <w:rtl w:val="true"/>
        </w:rPr>
        <w:t>ועל כן מצווה בית המשפט לנהוג בעברייני נשק או חלקים ממנו בחומרה יתירה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 xml:space="preserve">.       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למרות שהנאשם הורשע בשנת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בעבירת החזקת רכוש החשוד כגנוב</w:t>
      </w:r>
      <w:r>
        <w:rPr>
          <w:rtl w:val="true"/>
        </w:rPr>
        <w:t xml:space="preserve">, </w:t>
      </w:r>
      <w:r>
        <w:rPr>
          <w:rtl w:val="true"/>
        </w:rPr>
        <w:t>שב הנאשם לסורו והחזיק מספר פריטים החשודים כגנובים</w:t>
      </w:r>
      <w:r>
        <w:rPr>
          <w:rtl w:val="true"/>
        </w:rPr>
        <w:t xml:space="preserve">. </w:t>
      </w:r>
      <w:r>
        <w:rPr>
          <w:rtl w:val="true"/>
        </w:rPr>
        <w:t>אציין עוד כי איני יכול לייחס כל משקל לטענתו של הנאשם</w:t>
      </w:r>
      <w:r>
        <w:rPr>
          <w:rtl w:val="true"/>
        </w:rPr>
        <w:t xml:space="preserve">, </w:t>
      </w:r>
      <w:r>
        <w:rPr>
          <w:rtl w:val="true"/>
        </w:rPr>
        <w:t>לפיהן לגבי חלק מן הציוד הוא מצא קבלות המוכיחות כי הוא רכש את הציוד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מדובר בטענה שטען הנאשם למרות שהוא מודה בעבירות המיוחסות לו ועל כן המצאת ראיות</w:t>
      </w:r>
      <w:r>
        <w:rPr>
          <w:rtl w:val="true"/>
        </w:rPr>
        <w:t xml:space="preserve">,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לאחר הודאת המשיב</w:t>
      </w:r>
      <w:r>
        <w:rPr>
          <w:rtl w:val="true"/>
        </w:rPr>
        <w:t xml:space="preserve">, </w:t>
      </w:r>
      <w:r>
        <w:rPr>
          <w:rtl w:val="true"/>
        </w:rPr>
        <w:t>היא חסרת משק</w:t>
      </w:r>
      <w:r>
        <w:rPr>
          <w:color w:val="FF0000"/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אף לעניין הטיעונים 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 xml:space="preserve">.        </w:t>
      </w:r>
      <w:r>
        <w:rPr>
          <w:rtl w:val="true"/>
        </w:rPr>
        <w:t>אל מול השיקולים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שהם השיקולים לחומרא</w:t>
      </w:r>
      <w:r>
        <w:rPr>
          <w:rtl w:val="true"/>
        </w:rPr>
        <w:t xml:space="preserve">, </w:t>
      </w:r>
      <w:r>
        <w:rPr>
          <w:rtl w:val="true"/>
        </w:rPr>
        <w:t xml:space="preserve">התייחסתי להודאתו של המשיב וכן לעובדה כי הוא שהה במעצר למשך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ולאחר מכן במעצר בית מלא בפיקוח איזוק אלקטרוני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עיינתי היטב בתסקיר שירות המבחן ומצאתי כי יש להקל עם הנאשם המצוי באיבו של הליך טיפולי</w:t>
      </w:r>
      <w:r>
        <w:rPr>
          <w:rtl w:val="true"/>
        </w:rPr>
        <w:t xml:space="preserve">, </w:t>
      </w:r>
      <w:r>
        <w:rPr>
          <w:rtl w:val="true"/>
        </w:rPr>
        <w:t>ולאור נסיבותיו האמורות בתסקיר עצמו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 xml:space="preserve">.        </w:t>
      </w:r>
      <w:r>
        <w:rPr>
          <w:rtl w:val="true"/>
        </w:rPr>
        <w:t>לאחר ששקלתי את האמור לעיל אני גוזר על הנאשם את העונשים שלהלן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)         </w:t>
      </w:r>
      <w:r>
        <w:rPr>
          <w:rtl w:val="true"/>
        </w:rPr>
        <w:t>מאסר למשך תקופה בת שלושה חודשים שתבוצע בעבודות שירות</w:t>
      </w:r>
      <w:r>
        <w:rPr>
          <w:rtl w:val="true"/>
        </w:rPr>
        <w:t xml:space="preserve">, </w:t>
      </w:r>
      <w:r>
        <w:rPr>
          <w:rtl w:val="true"/>
        </w:rPr>
        <w:t>בכפוף לקבלת חוות דעתו של הממונה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)         </w:t>
      </w:r>
      <w:r>
        <w:rPr>
          <w:rtl w:val="true"/>
        </w:rPr>
        <w:t>מאסר על תנאי למשך ששה חודשים והתנאי הוא שלא יעבור עבירת רכוש או עבירת בניגוד ל</w:t>
      </w:r>
      <w:hyperlink r:id="rId18">
        <w:r>
          <w:rPr>
            <w:rStyle w:val="Hyperlink"/>
            <w:rtl w:val="true"/>
          </w:rPr>
          <w:t>חוק הכניסה לישראל</w:t>
        </w:r>
      </w:hyperlink>
      <w:r>
        <w:rPr>
          <w:rtl w:val="true"/>
        </w:rPr>
        <w:t xml:space="preserve"> 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1952</w:t>
      </w:r>
      <w:r>
        <w:rPr>
          <w:rtl w:val="true"/>
        </w:rPr>
        <w:t xml:space="preserve"> </w:t>
      </w:r>
      <w:r>
        <w:rPr>
          <w:rtl w:val="true"/>
        </w:rPr>
        <w:t xml:space="preserve">או כל עבירה בניגוד </w:t>
      </w:r>
      <w:hyperlink r:id="rId19">
        <w:r>
          <w:rPr>
            <w:rStyle w:val="Hyperlink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וזאת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)          </w:t>
      </w:r>
      <w:r>
        <w:rPr>
          <w:rtl w:val="true"/>
        </w:rPr>
        <w:t xml:space="preserve">אני מחייב את הנאשם לשלם קנס בסך </w:t>
      </w:r>
      <w:r>
        <w:rPr/>
        <w:t>1,500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תוך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 xml:space="preserve">.        </w:t>
      </w:r>
      <w:r>
        <w:rPr>
          <w:b/>
          <w:b/>
          <w:bCs/>
          <w:u w:val="single"/>
          <w:rtl w:val="true"/>
        </w:rPr>
        <w:t xml:space="preserve">אני קובע המשך דיון לאחר קבלת חוות דעתו של הממונה על עבודות שירות ליום </w:t>
      </w:r>
      <w:r>
        <w:rPr>
          <w:b/>
          <w:bCs/>
          <w:u w:val="single"/>
        </w:rPr>
        <w:t>23.3.11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 xml:space="preserve">בשעה </w:t>
      </w:r>
      <w:r>
        <w:rPr>
          <w:b/>
          <w:bCs/>
          <w:u w:val="single"/>
        </w:rPr>
        <w:t>9:00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u w:val="single"/>
        </w:rPr>
      </w:pPr>
      <w:r>
        <w:rPr/>
        <w:t>18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 xml:space="preserve">המוצגים </w:t>
      </w:r>
      <w:r>
        <w:rPr>
          <w:b/>
          <w:b/>
          <w:bCs/>
          <w:u w:val="single"/>
          <w:rtl w:val="true"/>
        </w:rPr>
        <w:t>–</w:t>
      </w:r>
      <w:r>
        <w:rPr>
          <w:b/>
          <w:b/>
          <w:bCs/>
          <w:u w:val="single"/>
          <w:rtl w:val="true"/>
        </w:rPr>
        <w:t xml:space="preserve"> המחסניות והכדורים </w:t>
      </w:r>
      <w:r>
        <w:rPr>
          <w:b/>
          <w:b/>
          <w:bCs/>
          <w:u w:val="single"/>
          <w:rtl w:val="true"/>
        </w:rPr>
        <w:t>–</w:t>
      </w:r>
      <w:r>
        <w:rPr>
          <w:b/>
          <w:b/>
          <w:bCs/>
          <w:u w:val="single"/>
          <w:rtl w:val="true"/>
        </w:rPr>
        <w:t xml:space="preserve"> יחולטו לטובת המדינה </w:t>
      </w:r>
      <w:r>
        <w:rPr>
          <w:b/>
          <w:b/>
          <w:bCs/>
          <w:u w:val="single"/>
          <w:rtl w:val="true"/>
        </w:rPr>
        <w:t>–</w:t>
      </w:r>
      <w:r>
        <w:rPr>
          <w:b/>
          <w:b/>
          <w:bCs/>
          <w:u w:val="single"/>
          <w:rtl w:val="true"/>
        </w:rPr>
        <w:t xml:space="preserve"> יועברו לצה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ל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 xml:space="preserve">לגבי מכשיר הטלפון הנייד </w:t>
      </w:r>
      <w:r>
        <w:rPr>
          <w:b/>
          <w:b/>
          <w:bCs/>
          <w:u w:val="single"/>
          <w:rtl w:val="true"/>
        </w:rPr>
        <w:t>–</w:t>
      </w:r>
      <w:r>
        <w:rPr>
          <w:b/>
          <w:b/>
          <w:bCs/>
          <w:u w:val="single"/>
          <w:rtl w:val="true"/>
        </w:rPr>
        <w:t xml:space="preserve"> יוחזרו לנאשם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המצלמות השייכות למתלונן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 xml:space="preserve">מר עיסא זחאלקה </w:t>
      </w:r>
      <w:r>
        <w:rPr>
          <w:b/>
          <w:b/>
          <w:bCs/>
          <w:u w:val="single"/>
          <w:rtl w:val="true"/>
        </w:rPr>
        <w:t>–</w:t>
      </w:r>
      <w:r>
        <w:rPr>
          <w:b/>
          <w:b/>
          <w:bCs/>
          <w:u w:val="single"/>
          <w:rtl w:val="true"/>
        </w:rPr>
        <w:t xml:space="preserve"> יושבו למתלונן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 xml:space="preserve">דיסק תיעוד החקירות </w:t>
      </w:r>
      <w:r>
        <w:rPr>
          <w:b/>
          <w:b/>
          <w:bCs/>
          <w:u w:val="single"/>
          <w:rtl w:val="true"/>
        </w:rPr>
        <w:t>–</w:t>
      </w:r>
      <w:r>
        <w:rPr>
          <w:b/>
          <w:b/>
          <w:bCs/>
          <w:u w:val="single"/>
          <w:rtl w:val="true"/>
        </w:rPr>
        <w:t xml:space="preserve"> יגנזו בתיק החקירה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/>
        <w:t>19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המזכירות תשלח את גזר הדין לממונה על עבודות השירות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u w:val="single"/>
        </w:rPr>
      </w:pPr>
      <w:r>
        <w:rPr/>
        <w:t>20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 xml:space="preserve">זכות ערעור לבית המשפט המחוזי 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נאסר ג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 xml:space="preserve">השאן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 אדר א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20/02/2011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נאסר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השאן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אירית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מסיקה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חד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2581-08-10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בדרי מוחמד אבו עטא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90721/12.a.b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a.1" TargetMode="External"/><Relationship Id="rId7" Type="http://schemas.openxmlformats.org/officeDocument/2006/relationships/hyperlink" Target="http://www.nevo.co.il/law/70301/186.a" TargetMode="External"/><Relationship Id="rId8" Type="http://schemas.openxmlformats.org/officeDocument/2006/relationships/hyperlink" Target="http://www.nevo.co.il/law/70301/413" TargetMode="External"/><Relationship Id="rId9" Type="http://schemas.openxmlformats.org/officeDocument/2006/relationships/hyperlink" Target="http://www.nevo.co.il/law/90721/12.a.b" TargetMode="External"/><Relationship Id="rId10" Type="http://schemas.openxmlformats.org/officeDocument/2006/relationships/hyperlink" Target="http://www.nevo.co.il/law/90721" TargetMode="External"/><Relationship Id="rId11" Type="http://schemas.openxmlformats.org/officeDocument/2006/relationships/hyperlink" Target="http://www.nevo.co.il/law/70301/144.a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13" TargetMode="External"/><Relationship Id="rId14" Type="http://schemas.openxmlformats.org/officeDocument/2006/relationships/hyperlink" Target="http://www.nevo.co.il/law/70301/186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13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90721" TargetMode="External"/><Relationship Id="rId19" Type="http://schemas.openxmlformats.org/officeDocument/2006/relationships/hyperlink" Target="http://www.nevo.co.il/law/70301/144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2016-06-07T13:29:00Z</dcterms:created>
  <dc:creator>Shahar Goldstein</dc:creator>
  <dc:description/>
  <cp:keywords/>
  <dc:language>en-IL</dc:language>
  <cp:lastModifiedBy>hofit</cp:lastModifiedBy>
  <dcterms:modified xsi:type="dcterms:W3CDTF">2016-06-07T13:29:00Z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בדרי מוחמד אבו עטא</vt:lpwstr>
  </property>
  <property fmtid="{D5CDD505-2E9C-101B-9397-08002B2CF9AE}" pid="4" name="CASENOTES1">
    <vt:lpwstr>ProcID=209&amp;PartA=1766&amp;PartC=07</vt:lpwstr>
  </property>
  <property fmtid="{D5CDD505-2E9C-101B-9397-08002B2CF9AE}" pid="5" name="CITY">
    <vt:lpwstr>חד'</vt:lpwstr>
  </property>
  <property fmtid="{D5CDD505-2E9C-101B-9397-08002B2CF9AE}" pid="6" name="DATE">
    <vt:lpwstr>20110220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נאסר ג'השאן</vt:lpwstr>
  </property>
  <property fmtid="{D5CDD505-2E9C-101B-9397-08002B2CF9AE}" pid="10" name="LAWLISTTMP1">
    <vt:lpwstr>90721/012.a.b</vt:lpwstr>
  </property>
  <property fmtid="{D5CDD505-2E9C-101B-9397-08002B2CF9AE}" pid="11" name="LAWLISTTMP2">
    <vt:lpwstr>70301/144.a.1;413:2;186.a;144</vt:lpwstr>
  </property>
  <property fmtid="{D5CDD505-2E9C-101B-9397-08002B2CF9AE}" pid="12" name="LAWYER">
    <vt:lpwstr>קרן זיגמן;מאיה גלעדי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2581</vt:lpwstr>
  </property>
  <property fmtid="{D5CDD505-2E9C-101B-9397-08002B2CF9AE}" pid="26" name="NEWPARTB">
    <vt:lpwstr>08</vt:lpwstr>
  </property>
  <property fmtid="{D5CDD505-2E9C-101B-9397-08002B2CF9AE}" pid="27" name="NEWPARTC">
    <vt:lpwstr>10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RemarkFileName">
    <vt:lpwstr>shalom sh 10 08 2581 709 htm</vt:lpwstr>
  </property>
  <property fmtid="{D5CDD505-2E9C-101B-9397-08002B2CF9AE}" pid="37" name="TYPE">
    <vt:lpwstr>3</vt:lpwstr>
  </property>
  <property fmtid="{D5CDD505-2E9C-101B-9397-08002B2CF9AE}" pid="38" name="TYPE_ABS_DATE">
    <vt:lpwstr>380020110220</vt:lpwstr>
  </property>
  <property fmtid="{D5CDD505-2E9C-101B-9397-08002B2CF9AE}" pid="39" name="TYPE_N_DATE">
    <vt:lpwstr>38020110220</vt:lpwstr>
  </property>
  <property fmtid="{D5CDD505-2E9C-101B-9397-08002B2CF9AE}" pid="40" name="VOLUME">
    <vt:lpwstr/>
  </property>
  <property fmtid="{D5CDD505-2E9C-101B-9397-08002B2CF9AE}" pid="41" name="WORDNUMPAGES">
    <vt:lpwstr>4</vt:lpwstr>
  </property>
</Properties>
</file>