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אלול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ספטמבר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25823-12-14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סמחאן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;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8999/2014</w:t>
            </w:r>
          </w:p>
        </w:tc>
      </w:tr>
    </w:tbl>
    <w:p>
      <w:pPr>
        <w:pStyle w:val="Header"/>
        <w:ind w:end="0"/>
        <w:jc w:val="start"/>
        <w:rPr>
          <w:rFonts w:cs="Times New Roman;Times New Roman"/>
          <w:lang w:val="en-US" w:eastAsia="en-US"/>
        </w:rPr>
      </w:pPr>
      <w:r>
        <w:rPr>
          <w:rFonts w:cs="Times New Roman;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before="120" w:after="120"/>
              <w:ind w:end="0"/>
              <w:jc w:val="both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;Arial" w:hAnsi="Arial;Arial" w:cs="Arial;Arial"/>
                <w:b/>
                <w:bCs/>
                <w:sz w:val="26"/>
                <w:szCs w:val="26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;Arial" w:ascii="Arial;Arial" w:hAnsi="Arial;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</w:rPr>
              <w:t>רון סולקין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before="120" w:after="120"/>
              <w:jc w:val="end"/>
              <w:rPr>
                <w:rFonts w:ascii="Arial;Arial" w:hAnsi="Arial;Arial" w:cs="Arial;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נעה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שוקר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before="120" w:after="120"/>
              <w:ind w:end="0"/>
              <w:jc w:val="center"/>
              <w:rPr>
                <w:rFonts w:ascii="Arial;Arial" w:hAnsi="Arial;Arial" w:cs="Arial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rFonts w:ascii="Arial;Arial" w:hAnsi="Arial;Arial" w:cs="Arial;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רואן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בת מחמד </w:t>
            </w:r>
            <w:r>
              <w:rPr>
                <w:rFonts w:ascii="Arial;Arial" w:hAnsi="Arial;Arial" w:cs="Arial;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סמחאן</w:t>
            </w:r>
            <w:r>
              <w:rPr>
                <w:rFonts w:cs="Arial;Arial" w:ascii="Arial;Arial" w:hAnsi="Arial;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רסלאן</w:t>
            </w:r>
            <w:r>
              <w:rPr>
                <w:rFonts w:cs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bookmarkStart w:id="3" w:name="LawTable"/>
      <w:bookmarkEnd w:id="3"/>
      <w:r>
        <w:rPr>
          <w:rFonts w:ascii="FrankRuehl;Times New Roman" w:hAnsi="FrankRuehl;Times New Roman" w:cs="FrankRuehl;Times New Roman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 xml:space="preserve">פקודת בתי הסוהר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1971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52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25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31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114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144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'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186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244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305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334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hyperlink r:id="rId17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1945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18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85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hyperlink r:id="rId19"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1952</w:t>
        </w:r>
      </w:hyperlink>
      <w:r>
        <w:rPr>
          <w:rFonts w:cs="FrankRuehl;Times New Roman" w:ascii="FrankRuehl;Times New Roman" w:hAnsi="FrankRuehl;Times New Roman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rtl w:val="true"/>
        </w:rPr>
        <w:t>סע</w:t>
      </w:r>
      <w:r>
        <w:rPr>
          <w:rFonts w:cs="FrankRuehl;Times New Roman" w:ascii="FrankRuehl;Times New Roman" w:hAnsi="FrankRuehl;Times New Roman"/>
          <w:rtl w:val="true"/>
        </w:rPr>
        <w:t xml:space="preserve">'  </w:t>
      </w:r>
      <w:hyperlink r:id="rId20">
        <w:r>
          <w:rPr>
            <w:rStyle w:val="Hyperlink"/>
            <w:rFonts w:cs="FrankRuehl;Times New Roman" w:ascii="FrankRuehl;Times New Roman" w:hAnsi="FrankRuehl;Times New Roman"/>
            <w:color w:val="0000FF"/>
            <w:u w:val="single"/>
          </w:rPr>
          <w:t>12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bookmarkStart w:id="4" w:name="ABSTRACT_START"/>
      <w:bookmarkEnd w:id="4"/>
      <w:r>
        <w:rPr>
          <w:rFonts w:cs="FrankRuehl;Times New Roman"/>
          <w:szCs w:val="26"/>
          <w:rtl w:val="true"/>
        </w:rPr>
        <w:t>מיני</w:t>
      </w:r>
      <w:r>
        <w:rPr>
          <w:rFonts w:cs="FrankRuehl;Times New Roman"/>
          <w:szCs w:val="26"/>
          <w:rtl w:val="true"/>
        </w:rPr>
        <w:t>-</w:t>
      </w:r>
      <w:r>
        <w:rPr>
          <w:rFonts w:cs="FrankRuehl;Times New Roman"/>
          <w:szCs w:val="26"/>
          <w:rtl w:val="true"/>
        </w:rPr>
        <w:t>רציו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בעניינה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שהורשעה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</w:t>
      </w:r>
      <w:r>
        <w:rPr>
          <w:rFonts w:cs="FrankRuehl;Times New Roman"/>
          <w:szCs w:val="26"/>
          <w:rtl w:val="true"/>
        </w:rPr>
        <w:t>י</w:t>
      </w:r>
      <w:r>
        <w:rPr>
          <w:rFonts w:cs="FrankRuehl;Times New Roman"/>
          <w:szCs w:val="26"/>
          <w:rtl w:val="true"/>
        </w:rPr>
        <w:t>סיון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להכנסת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חפץ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אסור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בניגוד</w:t>
      </w:r>
      <w:r>
        <w:rPr>
          <w:rFonts w:cs="Times New Roman;Times New Roman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;Times New Roman"/>
            <w:szCs w:val="26"/>
            <w:rtl w:val="true"/>
          </w:rPr>
          <w:t>לסעיף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</w:rPr>
          <w:t>52</w:t>
        </w:r>
        <w:r>
          <w:rPr>
            <w:rStyle w:val="Hyperlink"/>
            <w:rFonts w:cs="FrankRuehl;Times New Roman"/>
            <w:szCs w:val="26"/>
            <w:rtl w:val="true"/>
          </w:rPr>
          <w:t>(</w:t>
        </w:r>
        <w:r>
          <w:rPr>
            <w:rStyle w:val="Hyperlink"/>
            <w:rFonts w:cs="FrankRuehl;Times New Roman"/>
            <w:szCs w:val="26"/>
            <w:rtl w:val="true"/>
          </w:rPr>
          <w:t>ב</w:t>
        </w:r>
        <w:r>
          <w:rPr>
            <w:rStyle w:val="Hyperlink"/>
            <w:rFonts w:cs="FrankRuehl;Times New Roman"/>
            <w:szCs w:val="26"/>
            <w:rtl w:val="true"/>
          </w:rPr>
          <w:t>)(</w:t>
        </w:r>
        <w:r>
          <w:rPr>
            <w:rStyle w:val="Hyperlink"/>
            <w:rFonts w:cs="FrankRuehl;Times New Roman"/>
            <w:szCs w:val="26"/>
          </w:rPr>
          <w:t>1</w:t>
        </w:r>
        <w:r>
          <w:rPr>
            <w:rStyle w:val="Hyperlink"/>
            <w:rFonts w:cs="FrankRuehl;Times New Roman"/>
            <w:szCs w:val="26"/>
            <w:rtl w:val="true"/>
          </w:rPr>
          <w:t>)(</w:t>
        </w:r>
        <w:r>
          <w:rPr>
            <w:rStyle w:val="Hyperlink"/>
            <w:rFonts w:cs="FrankRuehl;Times New Roman"/>
            <w:szCs w:val="26"/>
            <w:rtl w:val="true"/>
          </w:rPr>
          <w:t>א</w:t>
        </w:r>
        <w:r>
          <w:rPr>
            <w:rStyle w:val="Hyperlink"/>
            <w:rFonts w:cs="FrankRuehl;Times New Roman"/>
            <w:szCs w:val="26"/>
            <w:rtl w:val="true"/>
          </w:rPr>
          <w:t>)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hyperlink r:id="rId22">
        <w:r>
          <w:rPr>
            <w:rStyle w:val="Hyperlink"/>
            <w:rFonts w:cs="FrankRuehl;Times New Roman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בתי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הסוהר</w:t>
        </w:r>
      </w:hyperlink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ביחד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;Times New Roman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;Times New Roman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</w:rPr>
          <w:t>25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hyperlink r:id="rId24">
        <w:r>
          <w:rPr>
            <w:rStyle w:val="Hyperlink"/>
            <w:rFonts w:cs="FrankRuehl;Times New Roman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העונשין</w:t>
        </w:r>
      </w:hyperlink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הוטלו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לצד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 xml:space="preserve">* </w:t>
      </w:r>
      <w:r>
        <w:rPr>
          <w:rFonts w:cs="FrankRuehl;Times New Roman"/>
          <w:szCs w:val="26"/>
          <w:rtl w:val="true"/>
        </w:rPr>
        <w:t>עונשין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מדיניות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ענישה</w:t>
      </w:r>
      <w:r>
        <w:rPr>
          <w:rFonts w:cs="FrankRuehl;Times New Roman"/>
          <w:szCs w:val="26"/>
          <w:rtl w:val="true"/>
        </w:rPr>
        <w:t xml:space="preserve">: </w:t>
      </w:r>
      <w:r>
        <w:rPr>
          <w:rFonts w:cs="FrankRuehl;Times New Roman"/>
          <w:szCs w:val="26"/>
          <w:rtl w:val="true"/>
        </w:rPr>
        <w:t>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הורשעה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</w:t>
      </w:r>
      <w:r>
        <w:rPr>
          <w:rFonts w:cs="FrankRuehl;Times New Roman"/>
          <w:szCs w:val="26"/>
          <w:rtl w:val="true"/>
        </w:rPr>
        <w:t>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</w:t>
      </w:r>
      <w:r>
        <w:rPr>
          <w:rFonts w:cs="FrankRuehl;Times New Roman"/>
          <w:szCs w:val="26"/>
          <w:rtl w:val="true"/>
        </w:rPr>
        <w:t>י</w:t>
      </w:r>
      <w:r>
        <w:rPr>
          <w:rFonts w:cs="FrankRuehl;Times New Roman"/>
          <w:szCs w:val="26"/>
          <w:rtl w:val="true"/>
        </w:rPr>
        <w:t>סיון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להכנסת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חפץ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אסור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מסוכן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בניגוד</w:t>
      </w:r>
      <w:r>
        <w:rPr>
          <w:rFonts w:cs="Times New Roman;Times New Roman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;Times New Roman"/>
            <w:szCs w:val="26"/>
            <w:rtl w:val="true"/>
          </w:rPr>
          <w:t>לסעיף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</w:rPr>
          <w:t>52</w:t>
        </w:r>
        <w:r>
          <w:rPr>
            <w:rStyle w:val="Hyperlink"/>
            <w:rFonts w:cs="FrankRuehl;Times New Roman"/>
            <w:szCs w:val="26"/>
            <w:rtl w:val="true"/>
          </w:rPr>
          <w:t>(</w:t>
        </w:r>
        <w:r>
          <w:rPr>
            <w:rStyle w:val="Hyperlink"/>
            <w:rFonts w:cs="FrankRuehl;Times New Roman"/>
            <w:szCs w:val="26"/>
            <w:rtl w:val="true"/>
          </w:rPr>
          <w:t>ב</w:t>
        </w:r>
        <w:r>
          <w:rPr>
            <w:rStyle w:val="Hyperlink"/>
            <w:rFonts w:cs="FrankRuehl;Times New Roman"/>
            <w:szCs w:val="26"/>
            <w:rtl w:val="true"/>
          </w:rPr>
          <w:t>)(</w:t>
        </w:r>
        <w:r>
          <w:rPr>
            <w:rStyle w:val="Hyperlink"/>
            <w:rFonts w:cs="FrankRuehl;Times New Roman"/>
            <w:szCs w:val="26"/>
          </w:rPr>
          <w:t>1</w:t>
        </w:r>
        <w:r>
          <w:rPr>
            <w:rStyle w:val="Hyperlink"/>
            <w:rFonts w:cs="FrankRuehl;Times New Roman"/>
            <w:szCs w:val="26"/>
            <w:rtl w:val="true"/>
          </w:rPr>
          <w:t>)(</w:t>
        </w:r>
        <w:r>
          <w:rPr>
            <w:rStyle w:val="Hyperlink"/>
            <w:rFonts w:cs="FrankRuehl;Times New Roman"/>
            <w:szCs w:val="26"/>
            <w:rtl w:val="true"/>
          </w:rPr>
          <w:t>א</w:t>
        </w:r>
        <w:r>
          <w:rPr>
            <w:rStyle w:val="Hyperlink"/>
            <w:rFonts w:cs="FrankRuehl;Times New Roman"/>
            <w:szCs w:val="26"/>
            <w:rtl w:val="true"/>
          </w:rPr>
          <w:t>)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hyperlink r:id="rId26">
        <w:r>
          <w:rPr>
            <w:rStyle w:val="Hyperlink"/>
            <w:rFonts w:cs="FrankRuehl;Times New Roman"/>
            <w:szCs w:val="26"/>
            <w:rtl w:val="true"/>
          </w:rPr>
          <w:t>פקודת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בתי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הסוהר</w:t>
        </w:r>
      </w:hyperlink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ביחד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עם</w:t>
      </w:r>
      <w:r>
        <w:rPr>
          <w:rFonts w:cs="Times New Roman;Times New Roman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;Times New Roman"/>
            <w:szCs w:val="26"/>
            <w:rtl w:val="true"/>
          </w:rPr>
          <w:t>סעיף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</w:rPr>
          <w:t>25</w:t>
        </w:r>
      </w:hyperlink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</w:t>
      </w:r>
      <w:hyperlink r:id="rId28">
        <w:r>
          <w:rPr>
            <w:rStyle w:val="Hyperlink"/>
            <w:rFonts w:cs="FrankRuehl;Times New Roman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Cs w:val="26"/>
            <w:rtl w:val="true"/>
          </w:rPr>
          <w:t>העונשין</w:t>
        </w:r>
      </w:hyperlink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המשפט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גזר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דינה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ופסק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כלהלן</w:t>
      </w:r>
      <w:r>
        <w:rPr>
          <w:rFonts w:cs="FrankRuehl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העבירה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שעברה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החמור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האפשרי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מתוך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מגוון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העבירות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שעניינן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הכנסת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חפצים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אסורים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למתקן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כליאה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העברת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קטלני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לידי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אחי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בעולם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המעשה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העברת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אמצעי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המאפשר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לממש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כוונותיו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הקטלניות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הזדוניות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ופוטנציאל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הסיכון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עצום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להב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המסור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גם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פוטנציאל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לשימושים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נוספים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העלולים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לפגוע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במשמעת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ובסדר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בבית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הכלא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ובין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היתר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ניסור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סורגים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חפירה</w:t>
      </w:r>
      <w:r>
        <w:rPr>
          <w:rFonts w:cs="FrankRuehl;Times New Roman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Cs w:val="26"/>
        </w:rPr>
      </w:pPr>
      <w:r>
        <w:rPr>
          <w:rFonts w:cs="FrankRuehl;Times New Roman"/>
          <w:szCs w:val="26"/>
          <w:rtl w:val="true"/>
        </w:rPr>
        <w:t>תוך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המתאים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לחומרה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היתרה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הנובעת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מטיב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החפץ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האסור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שניסתה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להחדיר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במקרה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דנן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קטלני</w:t>
      </w:r>
      <w:r>
        <w:rPr>
          <w:rFonts w:cs="FrankRuehl;Times New Roman"/>
          <w:szCs w:val="26"/>
          <w:rtl w:val="true"/>
        </w:rPr>
        <w:t xml:space="preserve">; </w:t>
      </w:r>
      <w:r>
        <w:rPr>
          <w:rFonts w:cs="FrankRuehl;Times New Roman"/>
          <w:szCs w:val="26"/>
          <w:rtl w:val="true"/>
        </w:rPr>
        <w:t>וכן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היעד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אליו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כוון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הנשק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הקר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אסיר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בטחוני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שהוא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פעיל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טרור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יועמד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מתחם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הענישה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במקרה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דנן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בין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36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;Times New Roman"/>
          <w:szCs w:val="26"/>
          <w:rtl w:val="true"/>
        </w:rPr>
        <w:t>יינתן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משקל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מסוים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לחלוף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הזמן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אשר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כדי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ללמד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כי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לא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נתפסה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בעבירות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במהלך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תקופה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משמעותית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בשל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עובדה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זו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בלבד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יועמד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עונשה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בסופו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דבר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הרף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הנמוך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של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המתחם</w:t>
      </w:r>
      <w:r>
        <w:rPr>
          <w:rFonts w:cs="FrankRuehl;Times New Roman"/>
          <w:szCs w:val="26"/>
          <w:rtl w:val="true"/>
        </w:rPr>
        <w:t xml:space="preserve">. </w:t>
      </w:r>
      <w:r>
        <w:rPr>
          <w:rFonts w:cs="FrankRuehl;Times New Roman"/>
          <w:szCs w:val="26"/>
          <w:rtl w:val="true"/>
        </w:rPr>
        <w:t>לאור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האמור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יש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להטיל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הנאשמת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</w:rPr>
        <w:t>18</w:t>
      </w:r>
      <w:r>
        <w:rPr>
          <w:rFonts w:cs="FrankRuehl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חודשי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בפועל</w:t>
      </w:r>
      <w:r>
        <w:rPr>
          <w:rFonts w:cs="FrankRuehl;Times New Roman"/>
          <w:szCs w:val="26"/>
          <w:rtl w:val="true"/>
        </w:rPr>
        <w:t xml:space="preserve">, </w:t>
      </w:r>
      <w:r>
        <w:rPr>
          <w:rFonts w:cs="FrankRuehl;Times New Roman"/>
          <w:szCs w:val="26"/>
          <w:rtl w:val="true"/>
        </w:rPr>
        <w:t>לצד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מאסר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על</w:t>
      </w:r>
      <w:r>
        <w:rPr>
          <w:rFonts w:cs="Times New Roman;Times New Roman"/>
          <w:szCs w:val="26"/>
          <w:rtl w:val="true"/>
        </w:rPr>
        <w:t xml:space="preserve"> </w:t>
      </w:r>
      <w:r>
        <w:rPr>
          <w:rFonts w:cs="FrankRuehl;Times New Roman"/>
          <w:szCs w:val="26"/>
          <w:rtl w:val="true"/>
        </w:rPr>
        <w:t>תנאי</w:t>
      </w:r>
      <w:r>
        <w:rPr>
          <w:rFonts w:cs="FrankRuehl;Times New Roman"/>
          <w:szCs w:val="26"/>
          <w:rtl w:val="true"/>
        </w:rPr>
        <w:t>.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Cs w:val="26"/>
        </w:rPr>
      </w:pPr>
      <w:r>
        <w:rPr>
          <w:rFonts w:cs="FrankRuehl;Times New Roman" w:ascii="FrankRuehl;Times New Roman" w:hAnsi="FrankRuehl;Times New Roman"/>
          <w:szCs w:val="26"/>
          <w:rtl w:val="true"/>
        </w:rPr>
      </w:r>
      <w:bookmarkStart w:id="5" w:name="ABSTRACT_END"/>
      <w:bookmarkStart w:id="6" w:name="LawTable_End"/>
      <w:bookmarkStart w:id="7" w:name="ABSTRACT_END"/>
      <w:bookmarkStart w:id="8" w:name="LawTable_End"/>
      <w:bookmarkEnd w:id="7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;Arial" w:hAnsi="Arial;Arial" w:cs="Arial;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9" w:name="PsakDin"/>
            <w:bookmarkEnd w:id="9"/>
            <w:r>
              <w:rPr>
                <w:rFonts w:ascii="Arial;Arial" w:hAnsi="Arial;Arial" w:cs="Arial;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rFonts w:ascii="Arial;Arial" w:hAnsi="Arial;Arial" w:cs="Arial;Arial"/>
          <w:b/>
          <w:bCs/>
          <w:lang w:val="en-US" w:eastAsia="en-US"/>
        </w:rPr>
      </w:pP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כתב האישום והשתלשלות הדיון</w:t>
      </w:r>
    </w:p>
    <w:p>
      <w:pPr>
        <w:pStyle w:val="Normal"/>
        <w:spacing w:lineRule="auto" w:line="360"/>
        <w:ind w:end="0"/>
        <w:jc w:val="start"/>
        <w:rPr>
          <w:rFonts w:ascii="Arial;Arial" w:hAnsi="Arial;Arial" w:cs="Arial;Arial"/>
          <w:b/>
          <w:bCs/>
          <w:lang w:val="en-US" w:eastAsia="en-US"/>
        </w:rPr>
      </w:pPr>
      <w:r>
        <w:rPr>
          <w:rFonts w:cs="Arial;Arial" w:ascii="Arial;Arial" w:hAnsi="Arial;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;Arial" w:hAnsi="Arial;Arial" w:cs="Arial;Arial"/>
          <w:rtl w:val="true"/>
          <w:lang w:val="en-US" w:eastAsia="en-US"/>
        </w:rPr>
        <w:t>נגד הנאשמת הוגש כתב אישום</w:t>
      </w:r>
      <w:r>
        <w:rPr>
          <w:rFonts w:cs="Arial;Arial" w:ascii="Arial;Arial" w:hAnsi="Arial;Arial"/>
          <w:rtl w:val="true"/>
          <w:lang w:val="en-US" w:eastAsia="en-US"/>
        </w:rPr>
        <w:t>,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>המייחס לה עבירה של נסיון להכנסת חפץ אסור מסוכן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בניגוד </w:t>
      </w:r>
      <w:hyperlink r:id="rId29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52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>ל</w:t>
      </w:r>
      <w:hyperlink r:id="rId30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פקודת בתי הסוהר</w:t>
        </w:r>
      </w:hyperlink>
      <w:r>
        <w:rPr>
          <w:rFonts w:ascii="Arial;Arial" w:hAnsi="Arial;Arial" w:cs="Arial;Arial"/>
          <w:rtl w:val="true"/>
          <w:lang w:val="en-US" w:eastAsia="en-US"/>
        </w:rPr>
        <w:t xml:space="preserve"> </w:t>
      </w:r>
      <w:r>
        <w:rPr>
          <w:rFonts w:cs="Arial;Arial" w:ascii="Arial;Arial" w:hAnsi="Arial;Arial"/>
          <w:rtl w:val="true"/>
          <w:lang w:val="en-US" w:eastAsia="en-US"/>
        </w:rPr>
        <w:t>[</w:t>
      </w:r>
      <w:r>
        <w:rPr>
          <w:rFonts w:ascii="Arial;Arial" w:hAnsi="Arial;Arial" w:cs="Arial;Arial"/>
          <w:rtl w:val="true"/>
          <w:lang w:val="en-US" w:eastAsia="en-US"/>
        </w:rPr>
        <w:t>נוסח חדש</w:t>
      </w:r>
      <w:r>
        <w:rPr>
          <w:rFonts w:cs="Arial;Arial" w:ascii="Arial;Arial" w:hAnsi="Arial;Arial"/>
          <w:rtl w:val="true"/>
          <w:lang w:val="en-US" w:eastAsia="en-US"/>
        </w:rPr>
        <w:t xml:space="preserve">], </w:t>
      </w:r>
      <w:r>
        <w:rPr>
          <w:rFonts w:ascii="Arial;Arial" w:hAnsi="Arial;Arial" w:cs="Arial;Arial"/>
          <w:rtl w:val="true"/>
          <w:lang w:val="en-US" w:eastAsia="en-US"/>
        </w:rPr>
        <w:t>תשל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ב</w:t>
      </w:r>
      <w:r>
        <w:rPr>
          <w:rFonts w:cs="Arial;Arial" w:ascii="Arial;Arial" w:hAnsi="Arial;Arial"/>
          <w:rtl w:val="true"/>
          <w:lang w:val="en-US" w:eastAsia="en-US"/>
        </w:rPr>
        <w:t>-</w:t>
      </w:r>
      <w:r>
        <w:rPr>
          <w:rFonts w:cs="Arial;Arial" w:ascii="Arial;Arial" w:hAnsi="Arial;Arial"/>
          <w:lang w:val="en-US" w:eastAsia="en-US"/>
        </w:rPr>
        <w:t>1971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ביחד עם </w:t>
      </w:r>
      <w:hyperlink r:id="rId31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25</w:t>
        </w:r>
      </w:hyperlink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</w:t>
      </w:r>
      <w:hyperlink r:id="rId32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תשל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>"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ז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>-</w:t>
      </w:r>
      <w:r>
        <w:rPr>
          <w:rFonts w:cs="Calibri;Times New Roman" w:ascii="Calibri;Times New Roman" w:hAnsi="Calibri;Times New Roman"/>
          <w:lang w:val="en-US" w:eastAsia="en-US"/>
        </w:rPr>
        <w:t>1977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בכתב האישום נטען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 xml:space="preserve">כי בתאריך </w:t>
      </w:r>
      <w:r>
        <w:rPr>
          <w:rFonts w:cs="Calibri;Times New Roman" w:ascii="Calibri;Times New Roman" w:hAnsi="Calibri;Times New Roman"/>
          <w:lang w:val="en-US" w:eastAsia="en-US"/>
        </w:rPr>
        <w:t>08.12.14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 xml:space="preserve">סמוך לשעה </w:t>
      </w:r>
      <w:r>
        <w:rPr>
          <w:rFonts w:cs="Calibri;Times New Roman" w:ascii="Calibri;Times New Roman" w:hAnsi="Calibri;Times New Roman"/>
          <w:lang w:val="en-US" w:eastAsia="en-US"/>
        </w:rPr>
        <w:t>13:00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 xml:space="preserve">הגיעה לבית הסוהר 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>"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נפחא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"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לבקר את אחיה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 xml:space="preserve">המרצה עונש מאסר בן </w:t>
      </w:r>
      <w:r>
        <w:rPr>
          <w:rFonts w:cs="Calibri;Times New Roman" w:ascii="Calibri;Times New Roman" w:hAnsi="Calibri;Times New Roman"/>
          <w:lang w:val="en-US" w:eastAsia="en-US"/>
        </w:rPr>
        <w:t>19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שנים בגין עבירות כנגד בטחון המדינה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לרבות עבירה של נסיון לרצח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הנאשמת החזיקה בבגדיה להב מסור באורך כ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- </w:t>
      </w:r>
      <w:r>
        <w:rPr>
          <w:rFonts w:cs="Calibri;Times New Roman" w:ascii="Calibri;Times New Roman" w:hAnsi="Calibri;Times New Roman"/>
          <w:lang w:val="en-US" w:eastAsia="en-US"/>
        </w:rPr>
        <w:t>10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ס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>"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מ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במטרה להעבירו לאחיה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להב המסור נתגלה במהלך בידוק שנערך לנאשמת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עוד נטען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כי להב המסור הוא חפץ העלול לסכן חיי אדם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לפגוע בבריאותו או לגרום לחבלה חמורה וכן לסייע לבריחה מבית הסוהר ולפגוע בבטחון המדינה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כן עשוי לשמש לייצור חפצים הגורמים לכל אלה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ההגנה הודתה בעובדות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כלומר בכך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שהנאשמת אכן נתפסה מחזיקה את להב המסור האמור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אך כפרה באשמה – מחמת העדר מחשבה פלילית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היינו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לטענת ההגנה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לא היתה הנאשמת מודעת לכך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שהחזיקה את להב המסור על גופה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ascii="Calibri;Times New Roman" w:hAnsi="Calibri;Times New Roman" w:cs="Calibri;Times New Roman"/>
          <w:rtl w:val="true"/>
          <w:lang w:val="en-US" w:eastAsia="en-US"/>
        </w:rPr>
        <w:t>לאחר שמיעת ראיות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הורשעה הנאשמת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,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 xml:space="preserve">בהכרעת הדין מיום </w:t>
      </w:r>
      <w:r>
        <w:rPr>
          <w:rFonts w:ascii="Arial;Arial" w:hAnsi="Arial;Arial" w:cs="Arial;Arial"/>
          <w:rtl w:val="true"/>
        </w:rPr>
        <w:t>כ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ד ניסן תשע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cs="Arial;Arial" w:ascii="Arial;Arial" w:hAnsi="Arial;Arial"/>
        </w:rPr>
        <w:t>09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אפריל </w:t>
      </w:r>
      <w:r>
        <w:rPr>
          <w:rFonts w:cs="Arial;Arial" w:ascii="Arial;Arial" w:hAnsi="Arial;Arial"/>
        </w:rPr>
        <w:t>2018</w:t>
      </w:r>
      <w:r>
        <w:rPr>
          <w:rFonts w:cs="Arial;Arial" w:ascii="Arial;Arial" w:hAnsi="Arial;Arial"/>
          <w:rtl w:val="true"/>
        </w:rPr>
        <w:t>,</w:t>
      </w:r>
      <w:r>
        <w:rPr>
          <w:rFonts w:cs="Calibri;Times New Roman" w:ascii="Calibri;Times New Roman" w:hAnsi="Calibri;Times New Roman"/>
          <w:rtl w:val="true"/>
          <w:lang w:val="en-US" w:eastAsia="en-US"/>
        </w:rPr>
        <w:t xml:space="preserve"> </w:t>
      </w:r>
      <w:r>
        <w:rPr>
          <w:rFonts w:ascii="Calibri;Times New Roman" w:hAnsi="Calibri;Times New Roman" w:cs="Calibri;Times New Roman"/>
          <w:rtl w:val="true"/>
          <w:lang w:val="en-US" w:eastAsia="en-US"/>
        </w:rPr>
        <w:t>בעובדות ובעבירה שבכתב האישום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  <w:lang w:val="en-US" w:eastAsia="en-US"/>
        </w:rPr>
      </w:pPr>
      <w:r>
        <w:rPr>
          <w:rFonts w:cs="Calibri;Times New Roman" w:ascii="Calibri;Times New Roman" w:hAnsi="Calibri;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עם מתן הכרעת הדין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עתרה ההגנה לדחות שמיעת פרשת העונש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לאחר הפניית הנאשמת להערכת שירות המבחן למבוגרים</w:t>
      </w:r>
      <w:r>
        <w:rPr>
          <w:rFonts w:cs="Arial;Arial" w:ascii="Arial;Arial" w:hAnsi="Arial;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מאז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נדחה הדיון מעת לעת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בכל פעם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נמנעה הנאשמת מלהתייצב לפני שירות המבחן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מסיבות שונות ופעמים רבות אף לא התייצבה לדיון בבית המשפט בחלק מהפעמים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מנסיבות שאינן תלויות בה</w:t>
      </w:r>
      <w:r>
        <w:rPr>
          <w:rFonts w:cs="Arial;Arial" w:ascii="Arial;Arial" w:hAnsi="Arial;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בהחלטה מיום כ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ו אדר ב</w:t>
      </w:r>
      <w:r>
        <w:rPr>
          <w:rFonts w:cs="Arial;Arial" w:ascii="Arial;Arial" w:hAnsi="Arial;Arial"/>
          <w:rtl w:val="true"/>
        </w:rPr>
        <w:t xml:space="preserve">' </w:t>
      </w:r>
      <w:r>
        <w:rPr>
          <w:rFonts w:ascii="Arial;Arial" w:hAnsi="Arial;Arial" w:cs="Arial;Arial"/>
          <w:rtl w:val="true"/>
        </w:rPr>
        <w:t>תשע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ט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</w:rPr>
        <w:t>03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אפריל </w:t>
      </w:r>
      <w:r>
        <w:rPr>
          <w:rFonts w:cs="Arial;Arial" w:ascii="Arial;Arial" w:hAnsi="Arial;Arial"/>
        </w:rPr>
        <w:t>2019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הורה בית המשפט פעם נוספת על הבאת הנאשמת בצו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לאחר שצו קודם לא בוצע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וכן הורה לצדדים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לאור אי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התייצבות הנאשמת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שוב ושוב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בשירות המבחן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גם אם היו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בחלק מהפעמים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נסיבות אובייקטיביות שמנעו התייצבותה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הדבר לא הובא לפתחו של בית המשפט בזמן אמת</w:t>
      </w:r>
      <w:r>
        <w:rPr>
          <w:rFonts w:cs="Arial;Arial" w:ascii="Arial;Arial" w:hAnsi="Arial;Arial"/>
          <w:rtl w:val="true"/>
        </w:rPr>
        <w:t xml:space="preserve">; </w:t>
      </w:r>
      <w:r>
        <w:rPr>
          <w:rFonts w:ascii="Arial;Arial" w:hAnsi="Arial;Arial" w:cs="Arial;Arial"/>
          <w:rtl w:val="true"/>
        </w:rPr>
        <w:t>ולאור כך שממילא המדובר במי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שאין לגביו צפי לפרוגנוזה שיקומית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טיפולית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בהיותה תושבת אזורי האוטונומיה ביהודה ושומרון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יהיו הצדדים ערוכים לטעון לעונש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ללא תסקיר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מאז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נדחה הדיון פעמיים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עד אשר עלה בידי המאשימה לבצע את צו ההבאה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וביום כ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ב סיון תשע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ט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</w:rPr>
        <w:t>26.06.19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–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נשמעה פרשת העונש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u w:val="single"/>
          <w:rtl w:val="true"/>
        </w:rPr>
        <w:t xml:space="preserve">מכאן </w:t>
      </w:r>
      <w:r>
        <w:rPr>
          <w:rFonts w:ascii="Arial;Arial" w:hAnsi="Arial;Arial" w:cs="Arial;Arial"/>
          <w:u w:val="single"/>
          <w:rtl w:val="true"/>
        </w:rPr>
        <w:t>–</w:t>
      </w:r>
      <w:r>
        <w:rPr>
          <w:rFonts w:ascii="Arial;Arial" w:hAnsi="Arial;Arial" w:cs="Arial;Arial"/>
          <w:u w:val="single"/>
          <w:rtl w:val="true"/>
        </w:rPr>
        <w:t xml:space="preserve"> גזר דין זה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</w:rPr>
      </w:pPr>
      <w:r>
        <w:rPr>
          <w:rFonts w:ascii="Arial;Arial" w:hAnsi="Arial;Arial" w:cs="Arial;Arial"/>
          <w:b/>
          <w:b/>
          <w:bCs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</w:rPr>
      </w:pPr>
      <w:r>
        <w:rPr>
          <w:rFonts w:cs="Arial;Arial" w:ascii="Arial;Arial" w:hAnsi="Arial;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u w:val="single"/>
          <w:rtl w:val="true"/>
        </w:rPr>
        <w:t>התביעה</w:t>
      </w:r>
      <w:r>
        <w:rPr>
          <w:rFonts w:ascii="Arial;Arial" w:hAnsi="Arial;Arial" w:cs="Arial;Arial"/>
          <w:rtl w:val="true"/>
        </w:rPr>
        <w:t xml:space="preserve"> לא הגישה ראיות נוספות לענין העונש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אך ביקשה להפנות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בטיעוניה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למוצגים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שהוגשו במהלך שמיעת הראיות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כדלקמן</w:t>
      </w:r>
      <w:r>
        <w:rPr>
          <w:rFonts w:cs="Arial;Arial" w:ascii="Arial;Arial" w:hAnsi="Arial;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צילום להב המסור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בתוספת קנה מידה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ת</w:t>
      </w:r>
      <w:r>
        <w:rPr>
          <w:rFonts w:cs="Calibri;Times New Roman" w:ascii="Calibri;Times New Roman" w:hAnsi="Calibri;Times New Roman"/>
          <w:rtl w:val="true"/>
        </w:rPr>
        <w:t>/</w:t>
      </w:r>
      <w:r>
        <w:rPr>
          <w:rFonts w:cs="Calibri;Times New Roman" w:ascii="Calibri;Times New Roman" w:hAnsi="Calibri;Times New Roman"/>
        </w:rPr>
        <w:t>4</w:t>
      </w:r>
      <w:r>
        <w:rPr>
          <w:rFonts w:cs="Calibri;Times New Roman" w:ascii="Calibri;Times New Roman" w:hAnsi="Calibri;Times New Roman"/>
          <w:rtl w:val="true"/>
        </w:rPr>
        <w:t>)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בו ניתן להבחין בלהב משונן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באורך כ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10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ס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מ</w:t>
      </w:r>
      <w:r>
        <w:rPr>
          <w:rFonts w:cs="Calibri;Times New Roman" w:ascii="Calibri;Times New Roman" w:hAnsi="Calibri;Times New Roman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 xml:space="preserve">גזר הדין המהווה אסמכתא לכליאתו של </w:t>
      </w:r>
      <w:r>
        <w:rPr>
          <w:rFonts w:ascii="Calibri;Times New Roman" w:hAnsi="Calibri;Times New Roman" w:cs="Calibri;Times New Roman"/>
          <w:rtl w:val="true"/>
        </w:rPr>
        <w:t>אחי הנאשמת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אליו יועד להב המסור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ת</w:t>
      </w:r>
      <w:r>
        <w:rPr>
          <w:rFonts w:cs="Calibri;Times New Roman" w:ascii="Calibri;Times New Roman" w:hAnsi="Calibri;Times New Roman"/>
          <w:rtl w:val="true"/>
        </w:rPr>
        <w:t>/</w:t>
      </w:r>
      <w:r>
        <w:rPr>
          <w:rFonts w:cs="Calibri;Times New Roman" w:ascii="Calibri;Times New Roman" w:hAnsi="Calibri;Times New Roman"/>
        </w:rPr>
        <w:t>7</w:t>
      </w:r>
      <w:r>
        <w:rPr>
          <w:rFonts w:cs="Calibri;Times New Roman" w:ascii="Calibri;Times New Roman" w:hAnsi="Calibri;Times New Roman"/>
          <w:rtl w:val="true"/>
        </w:rPr>
        <w:t>)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על פי העולה מגזר הדין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נשפט האח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בבית המשפט המחוזי בבאר שבע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הרכב פשעים חמורים בראשות אב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ד כב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ס</w:t>
      </w:r>
      <w:r>
        <w:rPr>
          <w:rFonts w:cs="Calibri;Times New Roman" w:ascii="Calibri;Times New Roman" w:hAnsi="Calibri;Times New Roman"/>
          <w:rtl w:val="true"/>
        </w:rPr>
        <w:t>.</w:t>
      </w:r>
      <w:r>
        <w:rPr>
          <w:rFonts w:ascii="Calibri;Times New Roman" w:hAnsi="Calibri;Times New Roman" w:cs="Calibri;Times New Roman"/>
          <w:rtl w:val="true"/>
        </w:rPr>
        <w:t>נ</w:t>
      </w:r>
      <w:r>
        <w:rPr>
          <w:rFonts w:cs="Calibri;Times New Roman" w:ascii="Calibri;Times New Roman" w:hAnsi="Calibri;Times New Roman"/>
          <w:rtl w:val="true"/>
        </w:rPr>
        <w:t>. (</w:t>
      </w:r>
      <w:r>
        <w:rPr>
          <w:rFonts w:ascii="Calibri;Times New Roman" w:hAnsi="Calibri;Times New Roman" w:cs="Calibri;Times New Roman"/>
          <w:rtl w:val="true"/>
        </w:rPr>
        <w:t>כתוארה אז</w:t>
      </w:r>
      <w:r>
        <w:rPr>
          <w:rFonts w:cs="Calibri;Times New Roman" w:ascii="Calibri;Times New Roman" w:hAnsi="Calibri;Times New Roman"/>
          <w:rtl w:val="true"/>
        </w:rPr>
        <w:t xml:space="preserve">) </w:t>
      </w:r>
      <w:r>
        <w:rPr>
          <w:rFonts w:ascii="Calibri;Times New Roman" w:hAnsi="Calibri;Times New Roman" w:cs="Calibri;Times New Roman"/>
          <w:rtl w:val="true"/>
        </w:rPr>
        <w:t>השופטת ר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יפה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ascii="Calibri;Times New Roman" w:hAnsi="Calibri;Times New Roman" w:cs="Calibri;Times New Roman"/>
          <w:rtl w:val="true"/>
        </w:rPr>
        <w:t>כ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ץ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לעונש מאסר בפועל בן </w:t>
      </w:r>
      <w:r>
        <w:rPr>
          <w:rFonts w:cs="Calibri;Times New Roman" w:ascii="Calibri;Times New Roman" w:hAnsi="Calibri;Times New Roman"/>
        </w:rPr>
        <w:t>19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שנה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בין היתר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בגין עבירות של </w:t>
      </w:r>
      <w:r>
        <w:rPr>
          <w:rFonts w:ascii="Calibri;Times New Roman" w:hAnsi="Calibri;Times New Roman" w:cs="Calibri;Times New Roman"/>
          <w:rtl w:val="true"/>
        </w:rPr>
        <w:t>נסיון לרצח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33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305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</w:t>
      </w:r>
      <w:hyperlink r:id="rId34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העונשין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תשל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ז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1977</w:t>
      </w:r>
      <w:r>
        <w:rPr>
          <w:rFonts w:cs="Calibri;Times New Roman" w:ascii="Calibri;Times New Roman" w:hAnsi="Calibri;Times New Roman"/>
          <w:rtl w:val="true"/>
        </w:rPr>
        <w:t xml:space="preserve"> (</w:t>
      </w:r>
      <w:r>
        <w:rPr>
          <w:rFonts w:ascii="Calibri;Times New Roman" w:hAnsi="Calibri;Times New Roman" w:cs="Calibri;Times New Roman"/>
          <w:rtl w:val="true"/>
        </w:rPr>
        <w:t>להלן</w:t>
      </w:r>
      <w:r>
        <w:rPr>
          <w:rFonts w:cs="Calibri;Times New Roman" w:ascii="Calibri;Times New Roman" w:hAnsi="Calibri;Times New Roman"/>
          <w:rtl w:val="true"/>
        </w:rPr>
        <w:t>: "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>החוק</w:t>
      </w:r>
      <w:r>
        <w:rPr>
          <w:rFonts w:cs="Calibri;Times New Roman" w:ascii="Calibri;Times New Roman" w:hAnsi="Calibri;Times New Roman"/>
          <w:rtl w:val="true"/>
        </w:rPr>
        <w:t>")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פציעה בנסיבות מחמירות</w:t>
      </w:r>
      <w:r>
        <w:rPr>
          <w:rFonts w:ascii="Calibri;Times New Roman" w:hAnsi="Calibri;Times New Roman" w:cs="Calibri;Times New Roman"/>
          <w:rtl w:val="true"/>
        </w:rPr>
        <w:t xml:space="preserve"> כעבירת שנאה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35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334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 xml:space="preserve">בנסיבות </w:t>
      </w:r>
      <w:hyperlink r:id="rId36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335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hyperlink r:id="rId37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144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ו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'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סיוע לניסיון לרצח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38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305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בצירוף </w:t>
      </w:r>
      <w:hyperlink r:id="rId39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31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מגע עם סוכן חוץ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0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114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שתי עבירות</w:t>
      </w:r>
      <w:r>
        <w:rPr>
          <w:rFonts w:cs="Calibri;Times New Roman" w:ascii="Calibri;Times New Roman" w:hAnsi="Calibri;Times New Roman"/>
          <w:rtl w:val="true"/>
        </w:rPr>
        <w:t>)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חברות ופעילות בהתאחדות בלתי מותרת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1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85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</w:t>
      </w:r>
      <w:hyperlink r:id="rId42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ההגנה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שעת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חירום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cs="Calibri;Times New Roman" w:ascii="Calibri;Times New Roman" w:hAnsi="Calibri;Times New Roman"/>
        </w:rPr>
        <w:t>1945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 xml:space="preserve">עבירות בנשק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נשיאת נשק</w:t>
      </w:r>
      <w:r>
        <w:rPr>
          <w:rFonts w:ascii="Calibri;Times New Roman" w:hAnsi="Calibri;Times New Roman" w:cs="Calibri;Times New Roman"/>
          <w:rtl w:val="true"/>
        </w:rPr>
        <w:t xml:space="preserve"> חם</w:t>
      </w:r>
      <w:r>
        <w:rPr>
          <w:rFonts w:cs="Calibri;Times New Roman" w:ascii="Calibri;Times New Roman" w:hAnsi="Calibri;Times New Roman"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3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144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אימונים צבאיים אסורים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4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143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 xml:space="preserve">קשירת קשר לפשע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רצח</w:t>
      </w:r>
      <w:r>
        <w:rPr>
          <w:rFonts w:cs="Calibri;Times New Roman" w:ascii="Calibri;Times New Roman" w:hAnsi="Calibri;Times New Roman"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5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499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  <w:rtl w:val="true"/>
          </w:rPr>
          <w:t>)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החזקת סכין שלא כדין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6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186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בנסיבות </w:t>
      </w:r>
      <w:hyperlink r:id="rId47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144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ו</w:t>
        </w:r>
      </w:hyperlink>
      <w:r>
        <w:rPr>
          <w:rFonts w:ascii="Calibri;Times New Roman" w:hAnsi="Calibri;Times New Roman" w:cs="Calibri;Times New Roman"/>
          <w:rtl w:val="true"/>
        </w:rPr>
        <w:t xml:space="preserve"> 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שיבוש מהלכי משפט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8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244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לחוק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כניסה לישראל שלא כדין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לפי </w:t>
      </w:r>
      <w:hyperlink r:id="rId49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;Times New Roman" w:ascii="Calibri;Times New Roman" w:hAnsi="Calibri;Times New Roman"/>
            <w:color w:val="0000FF"/>
            <w:u w:val="single"/>
          </w:rPr>
          <w:t>12</w:t>
        </w:r>
      </w:hyperlink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</w:t>
      </w:r>
      <w:hyperlink r:id="rId50"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;Times New Roman" w:hAnsi="Calibri;Times New Roman" w:cs="Calibri;Times New Roman"/>
            <w:color w:val="0000FF"/>
            <w:u w:val="single"/>
            <w:rtl w:val="true"/>
          </w:rPr>
          <w:t>לישראל</w:t>
        </w:r>
      </w:hyperlink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תשי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ב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1952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מפאת הרלבנטיות של הנסיבות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בגינן מוחזק אחיה של הנאשמת במאסר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תפורט להלן מסכת העובדות בהן הורשע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על פי הודאתו במסגרת הסדר טיעון </w:t>
      </w:r>
      <w:r>
        <w:rPr>
          <w:rFonts w:cs="Calibri;Times New Roman" w:ascii="Calibri;Times New Roman" w:hAnsi="Calibri;Times New Roman"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על פי</w:t>
      </w:r>
      <w:r>
        <w:rPr>
          <w:rFonts w:ascii="Calibri;Times New Roman" w:hAnsi="Calibri;Times New Roman" w:cs="Calibri;Times New Roman"/>
          <w:rtl w:val="true"/>
        </w:rPr>
        <w:t xml:space="preserve"> ההסדר </w:t>
      </w:r>
      <w:r>
        <w:rPr>
          <w:rFonts w:ascii="Calibri;Times New Roman" w:hAnsi="Calibri;Times New Roman" w:cs="Calibri;Times New Roman"/>
          <w:rtl w:val="true"/>
        </w:rPr>
        <w:t>–</w:t>
      </w:r>
      <w:r>
        <w:rPr>
          <w:rFonts w:ascii="Calibri;Times New Roman" w:hAnsi="Calibri;Times New Roman" w:cs="Calibri;Times New Roman"/>
          <w:rtl w:val="true"/>
        </w:rPr>
        <w:t xml:space="preserve"> נמחקו ששה אישומים נוספים</w:t>
      </w:r>
      <w:r>
        <w:rPr>
          <w:rFonts w:cs="Calibri;Times New Roman" w:ascii="Calibri;Times New Roman" w:hAnsi="Calibri;Times New Roman"/>
          <w:rtl w:val="true"/>
        </w:rPr>
        <w:t xml:space="preserve">). </w:t>
      </w:r>
      <w:r>
        <w:rPr>
          <w:rFonts w:ascii="Calibri;Times New Roman" w:hAnsi="Calibri;Times New Roman" w:cs="Calibri;Times New Roman"/>
          <w:rtl w:val="true"/>
        </w:rPr>
        <w:t>בהתאם לעובדות המנויות ב</w:t>
      </w:r>
      <w:r>
        <w:rPr>
          <w:rFonts w:ascii="Calibri;Times New Roman" w:hAnsi="Calibri;Times New Roman" w:cs="Calibri;Times New Roman"/>
          <w:u w:val="single"/>
          <w:rtl w:val="true"/>
        </w:rPr>
        <w:t>אישום הראשון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במועד שאינו ידוע במדויק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במחצית הראשונה של חודש נובמבר </w:t>
      </w:r>
      <w:r>
        <w:rPr>
          <w:rFonts w:cs="Calibri;Times New Roman" w:ascii="Calibri;Times New Roman" w:hAnsi="Calibri;Times New Roman"/>
        </w:rPr>
        <w:t>2012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נכנס הנאשם לישראל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ללא היתר כניסה כדין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ועבד בעבודות שונות ברהט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ביום </w:t>
      </w:r>
      <w:r>
        <w:rPr>
          <w:rFonts w:cs="Calibri;Times New Roman" w:ascii="Calibri;Times New Roman" w:hAnsi="Calibri;Times New Roman"/>
        </w:rPr>
        <w:t>19.11.2012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במהלך ימי </w:t>
      </w:r>
      <w:r>
        <w:rPr>
          <w:rFonts w:ascii="Calibri;Times New Roman" w:hAnsi="Calibri;Times New Roman" w:cs="Calibri;Times New Roman"/>
          <w:rtl w:val="true"/>
        </w:rPr>
        <w:t>הלחימה של כוחות</w:t>
      </w:r>
      <w:r>
        <w:rPr>
          <w:rFonts w:ascii="Calibri;Times New Roman" w:hAnsi="Calibri;Times New Roman" w:cs="Calibri;Times New Roman"/>
          <w:rtl w:val="true"/>
        </w:rPr>
        <w:t xml:space="preserve">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 xml:space="preserve">ל בעזה </w:t>
      </w:r>
      <w:r>
        <w:rPr>
          <w:rFonts w:ascii="Calibri;Times New Roman" w:hAnsi="Calibri;Times New Roman" w:cs="Calibri;Times New Roman"/>
          <w:rtl w:val="true"/>
        </w:rPr>
        <w:t>ב</w:t>
      </w:r>
      <w:r>
        <w:rPr>
          <w:rFonts w:ascii="Calibri;Times New Roman" w:hAnsi="Calibri;Times New Roman" w:cs="Calibri;Times New Roman"/>
          <w:rtl w:val="true"/>
        </w:rPr>
        <w:t xml:space="preserve">מבצע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עמוד ענן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>גמלה בלבו של הנאשם החלטה לרצוח יהודי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ולצורך כך </w:t>
      </w:r>
      <w:r>
        <w:rPr>
          <w:rFonts w:cs="Calibri;Times New Roman" w:ascii="Calibri;Times New Roman" w:hAnsi="Calibri;Times New Roman"/>
          <w:rtl w:val="true"/>
        </w:rPr>
        <w:t>-</w:t>
      </w:r>
      <w:r>
        <w:rPr>
          <w:rFonts w:ascii="Calibri;Times New Roman" w:hAnsi="Calibri;Times New Roman" w:cs="Calibri;Times New Roman"/>
          <w:u w:val="single"/>
          <w:rtl w:val="true"/>
        </w:rPr>
        <w:t xml:space="preserve">הצטייד בסכין מטבח שאורכה </w:t>
      </w:r>
      <w:r>
        <w:rPr>
          <w:rFonts w:cs="Calibri;Times New Roman" w:ascii="Calibri;Times New Roman" w:hAnsi="Calibri;Times New Roman"/>
          <w:u w:val="single"/>
        </w:rPr>
        <w:t>20</w:t>
      </w:r>
      <w:r>
        <w:rPr>
          <w:rFonts w:cs="Calibri;Times New Roman" w:ascii="Calibri;Times New Roman" w:hAnsi="Calibri;Times New Roman"/>
          <w:u w:val="single"/>
          <w:rtl w:val="true"/>
        </w:rPr>
        <w:t xml:space="preserve"> </w:t>
      </w:r>
      <w:r>
        <w:rPr>
          <w:rFonts w:ascii="Calibri;Times New Roman" w:hAnsi="Calibri;Times New Roman" w:cs="Calibri;Times New Roman"/>
          <w:u w:val="single"/>
          <w:rtl w:val="true"/>
        </w:rPr>
        <w:t>ס</w:t>
      </w:r>
      <w:r>
        <w:rPr>
          <w:rFonts w:cs="Calibri;Times New Roman" w:ascii="Calibri;Times New Roman" w:hAnsi="Calibri;Times New Roman"/>
          <w:u w:val="single"/>
          <w:rtl w:val="true"/>
        </w:rPr>
        <w:t>"</w:t>
      </w:r>
      <w:r>
        <w:rPr>
          <w:rFonts w:ascii="Calibri;Times New Roman" w:hAnsi="Calibri;Times New Roman" w:cs="Calibri;Times New Roman"/>
          <w:u w:val="single"/>
          <w:rtl w:val="true"/>
        </w:rPr>
        <w:t>מ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אותה הטמין בגרב</w:t>
      </w:r>
      <w:r>
        <w:rPr>
          <w:rFonts w:ascii="Calibri;Times New Roman" w:hAnsi="Calibri;Times New Roman" w:cs="Calibri;Times New Roman"/>
          <w:rtl w:val="true"/>
        </w:rPr>
        <w:t xml:space="preserve"> רגלו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באותו יום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בשעה </w:t>
      </w:r>
      <w:r>
        <w:rPr>
          <w:rFonts w:cs="Calibri;Times New Roman" w:ascii="Calibri;Times New Roman" w:hAnsi="Calibri;Times New Roman"/>
        </w:rPr>
        <w:t>18:20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לערך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נסע הנאשם ביחד עם אחד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בהאא אלסמאמרה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לבאר שבע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ובמהלך הנסיעה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העביר הנאשם את הסכין לכיס הקדמי של חולצתו</w:t>
      </w:r>
      <w:r>
        <w:rPr>
          <w:rFonts w:cs="Calibri;Times New Roman" w:ascii="Calibri;Times New Roman" w:hAnsi="Calibri;Times New Roman"/>
          <w:rtl w:val="true"/>
        </w:rPr>
        <w:t>.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כשהגיעו השניים לבאר שבע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פגשו אדם נוסף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מחמד אבו קוידר שמו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השלושה ישבו</w:t>
      </w:r>
      <w:r>
        <w:rPr>
          <w:rFonts w:cs="Calibri;Times New Roman" w:ascii="Calibri;Times New Roman" w:hAnsi="Calibri;Times New Roman"/>
          <w:rtl w:val="true"/>
        </w:rPr>
        <w:t>,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תחילה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על ספסל סמוך לבית החולים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סורוקה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>הקשיבו לרדיו ושוחחו על המצב הביטחוני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 xml:space="preserve">בשעה </w:t>
      </w:r>
      <w:r>
        <w:rPr>
          <w:rFonts w:cs="Calibri;Times New Roman" w:ascii="Calibri;Times New Roman" w:hAnsi="Calibri;Times New Roman"/>
        </w:rPr>
        <w:t>20:00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לערך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בעת שצעדו מכיוון בית החולים לכיוון קניון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הנגב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 xml:space="preserve">הבחין הנאשם </w:t>
      </w:r>
      <w:r>
        <w:rPr>
          <w:rFonts w:ascii="Calibri;Times New Roman" w:hAnsi="Calibri;Times New Roman" w:cs="Calibri;Times New Roman"/>
          <w:rtl w:val="true"/>
        </w:rPr>
        <w:t>ב</w:t>
      </w:r>
      <w:r>
        <w:rPr>
          <w:rFonts w:ascii="Calibri;Times New Roman" w:hAnsi="Calibri;Times New Roman" w:cs="Calibri;Times New Roman"/>
          <w:rtl w:val="true"/>
        </w:rPr>
        <w:t>עובר אורח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שעסק</w:t>
      </w:r>
      <w:r>
        <w:rPr>
          <w:rFonts w:cs="Calibri;Times New Roman" w:ascii="Calibri;Times New Roman" w:hAnsi="Calibri;Times New Roman"/>
          <w:rtl w:val="true"/>
        </w:rPr>
        <w:t>,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אותה עת באימון ריצה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והתקרב לעבר השלושה באקראי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הנאשם בירר עם חבריו אם מדובר ביהודי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ולאחר שאלה השיבו בחיוב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פנה הנאשם למתלונן במילים </w:t>
      </w:r>
      <w:r>
        <w:rPr>
          <w:rFonts w:cs="Calibri;Times New Roman" w:ascii="Calibri;Times New Roman" w:hAnsi="Calibri;Times New Roman"/>
          <w:rtl w:val="true"/>
        </w:rPr>
        <w:t>- "</w:t>
      </w:r>
      <w:r>
        <w:rPr>
          <w:rFonts w:ascii="Calibri;Times New Roman" w:hAnsi="Calibri;Times New Roman" w:cs="Calibri;Times New Roman"/>
          <w:rtl w:val="true"/>
        </w:rPr>
        <w:t>שניות אחי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>ומשהמתלונן עצר את ריצתו בעקבות פניית הנאשם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שלף הנאשם את הסכין מכיס חולצתו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ודקר את המתלונן במותנו השמאלית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ולאחר מכן שלף את הסכין מגופו של המתלונן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וזאת במטרה לגרום למותו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המתלונן החל לנוס לכיוון בית החולים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ואילו הנאשם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וחבריו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נמלטו מהמקום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כדי </w:t>
      </w:r>
      <w:r>
        <w:rPr>
          <w:rFonts w:ascii="Calibri;Times New Roman" w:hAnsi="Calibri;Times New Roman" w:cs="Calibri;Times New Roman"/>
          <w:rtl w:val="true"/>
        </w:rPr>
        <w:t>לחמוק</w:t>
      </w:r>
      <w:r>
        <w:rPr>
          <w:rFonts w:ascii="Calibri;Times New Roman" w:hAnsi="Calibri;Times New Roman" w:cs="Calibri;Times New Roman"/>
          <w:rtl w:val="true"/>
        </w:rPr>
        <w:t xml:space="preserve"> ממעצר</w:t>
      </w:r>
      <w:r>
        <w:rPr>
          <w:rFonts w:cs="Calibri;Times New Roman" w:ascii="Calibri;Times New Roman" w:hAnsi="Calibri;Times New Roman"/>
          <w:rtl w:val="true"/>
        </w:rPr>
        <w:t>.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באזור השוק העירוני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עלו ל</w:t>
      </w:r>
      <w:r>
        <w:rPr>
          <w:rFonts w:ascii="Calibri;Times New Roman" w:hAnsi="Calibri;Times New Roman" w:cs="Calibri;Times New Roman"/>
          <w:rtl w:val="true"/>
        </w:rPr>
        <w:t>רכב</w:t>
      </w:r>
      <w:r>
        <w:rPr>
          <w:rFonts w:cs="Calibri;Times New Roman" w:ascii="Calibri;Times New Roman" w:hAnsi="Calibri;Times New Roman"/>
          <w:rtl w:val="true"/>
        </w:rPr>
        <w:t>,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באמצעותו</w:t>
      </w:r>
      <w:r>
        <w:rPr>
          <w:rFonts w:ascii="Calibri;Times New Roman" w:hAnsi="Calibri;Times New Roman" w:cs="Calibri;Times New Roman"/>
          <w:rtl w:val="true"/>
        </w:rPr>
        <w:t xml:space="preserve"> נמלטו לשבט אבו קוידר</w:t>
      </w:r>
      <w:r>
        <w:rPr>
          <w:rFonts w:cs="Calibri;Times New Roman" w:ascii="Calibri;Times New Roman" w:hAnsi="Calibri;Times New Roman"/>
          <w:rtl w:val="true"/>
        </w:rPr>
        <w:t>.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במהלך הימלטותו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השליך הנאשם את הסכין כשהיא מגואלת בדם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כשעה לאחר אירוע הדקירה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שלח הנאשם באמצעות מכשיר הטלפון הנייד שלו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מסרונים לרדיו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אלריף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>המשדר באזור דהריה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וכן לשני תושבי דהריה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אחמד אבו עלי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שהינו חבר בארגון גדוד חללי אלקצא</w:t>
      </w:r>
      <w:r>
        <w:rPr>
          <w:rFonts w:ascii="Calibri;Times New Roman" w:hAnsi="Calibri;Times New Roman" w:cs="Calibri;Times New Roman"/>
          <w:b/>
          <w:b/>
          <w:bCs/>
          <w:rtl w:val="true"/>
        </w:rPr>
        <w:t xml:space="preserve"> </w:t>
      </w:r>
      <w:r>
        <w:rPr>
          <w:rFonts w:cs="Calibri;Times New Roman" w:ascii="Calibri;Times New Roman" w:hAnsi="Calibri;Times New Roman"/>
          <w:b/>
          <w:bCs/>
          <w:rtl w:val="true"/>
        </w:rPr>
        <w:t>(</w:t>
      </w:r>
      <w:r>
        <w:rPr>
          <w:rFonts w:ascii="Calibri;Times New Roman" w:hAnsi="Calibri;Times New Roman" w:cs="Calibri;Times New Roman"/>
          <w:rtl w:val="true"/>
        </w:rPr>
        <w:t>להלן</w:t>
      </w:r>
      <w:r>
        <w:rPr>
          <w:rFonts w:cs="Calibri;Times New Roman" w:ascii="Calibri;Times New Roman" w:hAnsi="Calibri;Times New Roman"/>
          <w:rtl w:val="true"/>
        </w:rPr>
        <w:t>: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הארגון</w:t>
      </w:r>
      <w:r>
        <w:rPr>
          <w:rFonts w:cs="Calibri;Times New Roman" w:ascii="Calibri;Times New Roman" w:hAnsi="Calibri;Times New Roman"/>
          <w:b/>
          <w:bCs/>
          <w:rtl w:val="true"/>
        </w:rPr>
        <w:t xml:space="preserve">), </w:t>
      </w:r>
      <w:r>
        <w:rPr>
          <w:rFonts w:ascii="Calibri;Times New Roman" w:hAnsi="Calibri;Times New Roman" w:cs="Calibri;Times New Roman"/>
          <w:rtl w:val="true"/>
        </w:rPr>
        <w:t>ודיאא גאלב סמאמרה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לפיהם הארגון האמור נוטל על עצמו אחריות להרג יהודי בבאר שבע בדקירת סכין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rtl w:val="true"/>
        </w:rPr>
        <w:t>יצוין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כי הנאשם התגייס לארגון עוד בשנת </w:t>
      </w:r>
      <w:r>
        <w:rPr>
          <w:rFonts w:cs="Calibri;Times New Roman" w:ascii="Calibri;Times New Roman" w:hAnsi="Calibri;Times New Roman"/>
        </w:rPr>
        <w:t>2007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 xml:space="preserve">על פי </w:t>
      </w:r>
      <w:r>
        <w:rPr>
          <w:rFonts w:ascii="Calibri;Times New Roman" w:hAnsi="Calibri;Times New Roman" w:cs="Calibri;Times New Roman"/>
          <w:rtl w:val="true"/>
        </w:rPr>
        <w:t xml:space="preserve">עובדות </w:t>
      </w:r>
      <w:r>
        <w:rPr>
          <w:rFonts w:ascii="Calibri;Times New Roman" w:hAnsi="Calibri;Times New Roman" w:cs="Calibri;Times New Roman"/>
          <w:u w:val="single"/>
          <w:rtl w:val="true"/>
        </w:rPr>
        <w:t>האישום השני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במועד שאינו ידוע במדויק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בסוף שנת </w:t>
      </w:r>
      <w:r>
        <w:rPr>
          <w:rFonts w:cs="Calibri;Times New Roman" w:ascii="Calibri;Times New Roman" w:hAnsi="Calibri;Times New Roman"/>
        </w:rPr>
        <w:t>2007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בעקבות פניית מחמד אבו חדיג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ה אבו עזיז מקלקיליה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התגייס הנאשם לארגון ועבר אימון צבאי בקלקיליה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במשך שלושה חדשים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ביחד עם </w:t>
      </w:r>
      <w:r>
        <w:rPr>
          <w:rFonts w:cs="Calibri;Times New Roman" w:ascii="Calibri;Times New Roman" w:hAnsi="Calibri;Times New Roman"/>
        </w:rPr>
        <w:t>400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פעילים נוספים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בנוסף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השתתף הנאשם בעצרות ובמפגנים צבאיים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Calibri;Times New Roman" w:hAnsi="Calibri;Times New Roman" w:cs="Calibri;Times New Roman"/>
          <w:rtl w:val="true"/>
        </w:rPr>
        <w:t>כארבעה חודשים לאחר גיוסו לארגון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בעקבות פניית שני פעילי הארגון אבו חדיג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ה ושאדי אלדלה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קשר עמם הנאשם קשר לבצע פיגוע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בדרך של הנחת מטען חבלה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במשקל של </w:t>
      </w:r>
      <w:r>
        <w:rPr>
          <w:rFonts w:cs="Calibri;Times New Roman" w:ascii="Calibri;Times New Roman" w:hAnsi="Calibri;Times New Roman"/>
        </w:rPr>
        <w:t>25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ק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ג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שיופעל כנגד כוחות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ל ביו קלקיליה לישראל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במסגרת הקשר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בשעת חצות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הגיעו הנאשם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אבו חדיג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ה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שאדי אלדלה ושלושה פעילים נוספים לקרבת </w:t>
      </w:r>
      <w:r>
        <w:rPr>
          <w:rFonts w:ascii="Calibri;Times New Roman" w:hAnsi="Calibri;Times New Roman" w:cs="Calibri;Times New Roman"/>
          <w:rtl w:val="true"/>
        </w:rPr>
        <w:t>קו התפר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הנאשם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שהבחין כי המטען כבר נתלה על הגדר במקום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המתין ברכבו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במרחק של </w:t>
      </w:r>
      <w:r>
        <w:rPr>
          <w:rFonts w:cs="Calibri;Times New Roman" w:ascii="Calibri;Times New Roman" w:hAnsi="Calibri;Times New Roman"/>
        </w:rPr>
        <w:t>400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מ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מהמטען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כשהוא חמוש ברובה </w:t>
      </w:r>
      <w:r>
        <w:rPr>
          <w:rFonts w:ascii="Calibri;Times New Roman" w:hAnsi="Calibri;Times New Roman" w:cs="Calibri;Times New Roman"/>
          <w:rtl w:val="true"/>
        </w:rPr>
        <w:t xml:space="preserve">סער </w:t>
      </w:r>
      <w:r>
        <w:rPr>
          <w:rFonts w:ascii="Calibri;Times New Roman" w:hAnsi="Calibri;Times New Roman" w:cs="Calibri;Times New Roman"/>
          <w:rtl w:val="true"/>
        </w:rPr>
        <w:t xml:space="preserve">מסוג </w:t>
      </w:r>
      <w:r>
        <w:rPr>
          <w:rFonts w:cs="Calibri;Times New Roman" w:ascii="Calibri;Times New Roman" w:hAnsi="Calibri;Times New Roman"/>
        </w:rPr>
        <w:t>M-16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ובאקדח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אבו חדיג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ה המתין אף הוא ברכבו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כשהוא חמוש </w:t>
      </w:r>
      <w:r>
        <w:rPr>
          <w:rFonts w:ascii="Calibri;Times New Roman" w:hAnsi="Calibri;Times New Roman" w:cs="Calibri;Times New Roman"/>
          <w:rtl w:val="true"/>
        </w:rPr>
        <w:t>בתת מקלע מאולתר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דמוי</w:t>
      </w:r>
      <w:r>
        <w:rPr>
          <w:rFonts w:ascii="Calibri;Times New Roman" w:hAnsi="Calibri;Times New Roman" w:cs="Calibri;Times New Roman"/>
          <w:rtl w:val="true"/>
        </w:rPr>
        <w:t xml:space="preserve"> 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עוזי</w:t>
      </w:r>
      <w:r>
        <w:rPr>
          <w:rFonts w:cs="Calibri;Times New Roman" w:ascii="Calibri;Times New Roman" w:hAnsi="Calibri;Times New Roman"/>
          <w:rtl w:val="true"/>
        </w:rPr>
        <w:t xml:space="preserve">", </w:t>
      </w:r>
      <w:r>
        <w:rPr>
          <w:rFonts w:ascii="Calibri;Times New Roman" w:hAnsi="Calibri;Times New Roman" w:cs="Calibri;Times New Roman"/>
          <w:rtl w:val="true"/>
        </w:rPr>
        <w:t>ושאדי והאחרים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 xml:space="preserve">חמושים ברובי </w:t>
      </w:r>
      <w:r>
        <w:rPr>
          <w:rFonts w:ascii="Calibri;Times New Roman" w:hAnsi="Calibri;Times New Roman" w:cs="Calibri;Times New Roman"/>
          <w:rtl w:val="true"/>
        </w:rPr>
        <w:t xml:space="preserve">סער מסוג </w:t>
      </w:r>
      <w:r>
        <w:rPr>
          <w:rFonts w:ascii="Calibri;Times New Roman" w:hAnsi="Calibri;Times New Roman" w:cs="Calibri;Times New Roman"/>
          <w:rtl w:val="true"/>
        </w:rPr>
        <w:t>קלצ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ניקוב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הסתתרו בו</w:t>
      </w:r>
      <w:r>
        <w:rPr>
          <w:rFonts w:ascii="Calibri;Times New Roman" w:hAnsi="Calibri;Times New Roman" w:cs="Calibri;Times New Roman"/>
          <w:rtl w:val="true"/>
        </w:rPr>
        <w:t>ו</w:t>
      </w:r>
      <w:r>
        <w:rPr>
          <w:rFonts w:ascii="Calibri;Times New Roman" w:hAnsi="Calibri;Times New Roman" w:cs="Calibri;Times New Roman"/>
          <w:rtl w:val="true"/>
        </w:rPr>
        <w:t>אדי סמוך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תוך המתנה להגעת כוחות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ל למקום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>הנאשם ואבו חדיג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ה היו אמורים לתצפת במקום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ולסמן באמצעות מכשיר לייזר לשאדי והאחרים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על התקרבות כוח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ל לאזור</w:t>
      </w:r>
      <w:r>
        <w:rPr>
          <w:rFonts w:cs="Calibri;Times New Roman" w:ascii="Calibri;Times New Roman" w:hAnsi="Calibri;Times New Roman"/>
          <w:rtl w:val="true"/>
        </w:rPr>
        <w:t xml:space="preserve">. </w:t>
      </w:r>
      <w:r>
        <w:rPr>
          <w:rFonts w:ascii="Calibri;Times New Roman" w:hAnsi="Calibri;Times New Roman" w:cs="Calibri;Times New Roman"/>
          <w:rtl w:val="true"/>
        </w:rPr>
        <w:t xml:space="preserve">סמוך לשעה </w:t>
      </w:r>
      <w:r>
        <w:rPr>
          <w:rFonts w:cs="Calibri;Times New Roman" w:ascii="Calibri;Times New Roman" w:hAnsi="Calibri;Times New Roman"/>
        </w:rPr>
        <w:t>00:35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עם הגיעו של גי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פ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לי לקרבת הגבול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הפעיל שאדי את המטען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אולם הג</w:t>
      </w:r>
      <w:r>
        <w:rPr>
          <w:rFonts w:cs="Calibri;Times New Roman" w:ascii="Calibri;Times New Roman" w:hAnsi="Calibri;Times New Roman"/>
          <w:rtl w:val="true"/>
        </w:rPr>
        <w:t>'</w:t>
      </w:r>
      <w:r>
        <w:rPr>
          <w:rFonts w:ascii="Calibri;Times New Roman" w:hAnsi="Calibri;Times New Roman" w:cs="Calibri;Times New Roman"/>
          <w:rtl w:val="true"/>
        </w:rPr>
        <w:t>יפ</w:t>
      </w:r>
      <w:r>
        <w:rPr>
          <w:rFonts w:cs="Calibri;Times New Roman" w:ascii="Calibri;Times New Roman" w:hAnsi="Calibri;Times New Roman"/>
          <w:rtl w:val="true"/>
        </w:rPr>
        <w:t>,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שהיה מרוחק כ</w:t>
      </w:r>
      <w:r>
        <w:rPr>
          <w:rFonts w:cs="Calibri;Times New Roman" w:ascii="Calibri;Times New Roman" w:hAnsi="Calibri;Times New Roman"/>
          <w:rtl w:val="true"/>
        </w:rPr>
        <w:t xml:space="preserve">- </w:t>
      </w:r>
      <w:r>
        <w:rPr>
          <w:rFonts w:cs="Calibri;Times New Roman" w:ascii="Calibri;Times New Roman" w:hAnsi="Calibri;Times New Roman"/>
        </w:rPr>
        <w:t>350</w:t>
      </w:r>
      <w:r>
        <w:rPr>
          <w:rFonts w:cs="Calibri;Times New Roman" w:ascii="Calibri;Times New Roman" w:hAnsi="Calibri;Times New Roman"/>
          <w:rtl w:val="true"/>
        </w:rPr>
        <w:t xml:space="preserve"> </w:t>
      </w:r>
      <w:r>
        <w:rPr>
          <w:rFonts w:ascii="Calibri;Times New Roman" w:hAnsi="Calibri;Times New Roman" w:cs="Calibri;Times New Roman"/>
          <w:rtl w:val="true"/>
        </w:rPr>
        <w:t>מ</w:t>
      </w:r>
      <w:r>
        <w:rPr>
          <w:rFonts w:cs="Calibri;Times New Roman" w:ascii="Calibri;Times New Roman" w:hAnsi="Calibri;Times New Roman"/>
          <w:rtl w:val="true"/>
        </w:rPr>
        <w:t xml:space="preserve">' </w:t>
      </w:r>
      <w:r>
        <w:rPr>
          <w:rFonts w:ascii="Calibri;Times New Roman" w:hAnsi="Calibri;Times New Roman" w:cs="Calibri;Times New Roman"/>
          <w:rtl w:val="true"/>
        </w:rPr>
        <w:t>ממקום המטען לא נפגע</w:t>
      </w:r>
      <w:r>
        <w:rPr>
          <w:rFonts w:cs="Calibri;Times New Roman" w:ascii="Calibri;Times New Roman" w:hAnsi="Calibri;Times New Roman"/>
          <w:rtl w:val="true"/>
        </w:rPr>
        <w:t xml:space="preserve">, </w:t>
      </w:r>
      <w:r>
        <w:rPr>
          <w:rFonts w:ascii="Calibri;Times New Roman" w:hAnsi="Calibri;Times New Roman" w:cs="Calibri;Times New Roman"/>
          <w:rtl w:val="true"/>
        </w:rPr>
        <w:t>וכוחות צה</w:t>
      </w:r>
      <w:r>
        <w:rPr>
          <w:rFonts w:cs="Calibri;Times New Roman" w:ascii="Calibri;Times New Roman" w:hAnsi="Calibri;Times New Roman"/>
          <w:rtl w:val="true"/>
        </w:rPr>
        <w:t>"</w:t>
      </w:r>
      <w:r>
        <w:rPr>
          <w:rFonts w:ascii="Calibri;Times New Roman" w:hAnsi="Calibri;Times New Roman" w:cs="Calibri;Times New Roman"/>
          <w:rtl w:val="true"/>
        </w:rPr>
        <w:t>ל פתחו באש</w:t>
      </w:r>
      <w:r>
        <w:rPr>
          <w:rFonts w:cs="Calibri;Times New Roman" w:ascii="Calibri;Times New Roman" w:hAnsi="Calibri;Times New Roman"/>
          <w:rtl w:val="true"/>
        </w:rPr>
        <w:t xml:space="preserve">; </w:t>
      </w:r>
      <w:r>
        <w:rPr>
          <w:rFonts w:ascii="Calibri;Times New Roman" w:hAnsi="Calibri;Times New Roman" w:cs="Calibri;Times New Roman"/>
          <w:rtl w:val="true"/>
        </w:rPr>
        <w:t>בשלב זה עזב הנאשם את המקום ברכבו</w:t>
      </w:r>
      <w:r>
        <w:rPr>
          <w:rFonts w:cs="Calibri;Times New Roman" w:ascii="Calibri;Times New Roman" w:hAnsi="Calibri;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ascii="Calibri;Times New Roman" w:hAnsi="Calibri;Times New Roman" w:cs="Calibri;Times New Roman"/>
          <w:u w:val="single"/>
          <w:rtl w:val="true"/>
        </w:rPr>
        <w:t>ההגנה</w:t>
      </w:r>
      <w:r>
        <w:rPr>
          <w:rFonts w:ascii="Calibri;Times New Roman" w:hAnsi="Calibri;Times New Roman" w:cs="Calibri;Times New Roman"/>
          <w:rtl w:val="true"/>
        </w:rPr>
        <w:t xml:space="preserve"> לא הגישה ראיות לעונש מטעמה</w:t>
      </w:r>
      <w:r>
        <w:rPr>
          <w:rFonts w:cs="Calibri;Times New Roman" w:ascii="Calibri;Times New Roman" w:hAnsi="Calibri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;Times New Roman" w:hAnsi="Calibri;Times New Roman" w:cs="Calibri;Times New Roman"/>
        </w:rPr>
      </w:pPr>
      <w:r>
        <w:rPr>
          <w:rFonts w:cs="Calibri;Times New Roman" w:ascii="Calibri;Times New Roman" w:hAnsi="Calibri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</w:rPr>
      </w:pPr>
      <w:r>
        <w:rPr>
          <w:rFonts w:ascii="Arial;Arial" w:hAnsi="Arial;Arial" w:cs="Arial;Arial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</w:rPr>
      </w:pPr>
      <w:r>
        <w:rPr>
          <w:rFonts w:cs="Arial;Arial" w:ascii="Arial;Arial" w:hAnsi="Arial;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u w:val="single"/>
          <w:rtl w:val="true"/>
        </w:rPr>
        <w:t>התביעה</w:t>
      </w:r>
      <w:r>
        <w:rPr>
          <w:rFonts w:ascii="Arial;Arial" w:hAnsi="Arial;Arial" w:cs="Arial;Arial"/>
          <w:rtl w:val="true"/>
        </w:rPr>
        <w:t xml:space="preserve"> הגישה טענותיה לעונש בכתב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ת</w:t>
      </w:r>
      <w:r>
        <w:rPr>
          <w:rFonts w:cs="Arial;Arial" w:ascii="Arial;Arial" w:hAnsi="Arial;Arial"/>
          <w:rtl w:val="true"/>
        </w:rPr>
        <w:t>/</w:t>
      </w:r>
      <w:r>
        <w:rPr>
          <w:rFonts w:cs="Arial;Arial" w:ascii="Arial;Arial" w:hAnsi="Arial;Arial"/>
        </w:rPr>
        <w:t>11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והשלימה אותן על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פה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במעשיה של הנאשמת היה פוטנציאל לפגיעה חמורה בערכים של בטחון המדינה</w:t>
      </w:r>
      <w:r>
        <w:rPr>
          <w:rFonts w:cs="Arial;Arial" w:ascii="Arial;Arial" w:hAnsi="Arial;Arial"/>
          <w:rtl w:val="true"/>
        </w:rPr>
        <w:t xml:space="preserve">; </w:t>
      </w:r>
      <w:r>
        <w:rPr>
          <w:rFonts w:ascii="Arial;Arial" w:hAnsi="Arial;Arial" w:cs="Arial;Arial"/>
          <w:rtl w:val="true"/>
        </w:rPr>
        <w:t>שלום הציבור בכלל</w:t>
      </w:r>
      <w:r>
        <w:rPr>
          <w:rFonts w:cs="Arial;Arial" w:ascii="Arial;Arial" w:hAnsi="Arial;Arial"/>
          <w:rtl w:val="true"/>
        </w:rPr>
        <w:t xml:space="preserve">; </w:t>
      </w:r>
      <w:r>
        <w:rPr>
          <w:rFonts w:ascii="Arial;Arial" w:hAnsi="Arial;Arial" w:cs="Arial;Arial"/>
          <w:rtl w:val="true"/>
        </w:rPr>
        <w:t xml:space="preserve">שלומם של אנשי המרות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הסוהרים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וכן כלואים אחרים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בפרט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כמו כן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סיכון לפגיעה בסדר ובמשמעת בבית הסוהר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להב המסור כוון לאסיר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שכבר הוכיח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שאינו נרתע מלנסות לרצוח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באמצעות נשק קר מסוג סכין ועל כן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לולא אותר הלהב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היו ההשלכות עלולות להיות קטלניות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ביקשה שלא לזקוף לזכות הנאשמת את היותה נעדרת הרשעות קודמות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שכן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המדובר בעבירות שענינן הכנסת חפצים אסורים לבית הסוהר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הן נעברות דווקא על ידי מי שאינם בעלי הרשעות קודמות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ביקשה שלא ליתן משקל לחלוף הזמן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שנגרם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לטענתה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בשל התנהלות ההגנה ונסיבות הקשורות לנאשמת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הנאשמת הורשעה לאחר שמיעת ראיות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ולא הביעה חרטה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ביקשה ליתן משקל משמעותי לשיקול הרתעת הרבים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התביעה טענה למתחם ענישה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שינוע בין </w:t>
      </w:r>
      <w:r>
        <w:rPr>
          <w:rFonts w:cs="Arial;Arial" w:ascii="Arial;Arial" w:hAnsi="Arial;Arial"/>
        </w:rPr>
        <w:t>18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עד </w:t>
      </w:r>
      <w:r>
        <w:rPr>
          <w:rFonts w:cs="Arial;Arial" w:ascii="Arial;Arial" w:hAnsi="Arial;Arial"/>
        </w:rPr>
        <w:t>36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חדשים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ועתרה להעמיד ענשה של הנאשמת במחצית התחתונה של המתחם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עוד עתרה להשית על הנאשמת מאסר מותנה ממושך וכן קנס כספי משמעותי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u w:val="single"/>
          <w:rtl w:val="true"/>
        </w:rPr>
        <w:t>ההגנה</w:t>
      </w:r>
      <w:r>
        <w:rPr>
          <w:rFonts w:ascii="Arial;Arial" w:hAnsi="Arial;Arial" w:cs="Arial;Arial"/>
          <w:rtl w:val="true"/>
        </w:rPr>
        <w:t xml:space="preserve">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כי המסורית שנתפסה היא 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כמו סכין פירות</w:t>
      </w:r>
      <w:r>
        <w:rPr>
          <w:rFonts w:cs="Arial;Arial" w:ascii="Arial;Arial" w:hAnsi="Arial;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לטענת ההגנה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אין ראיות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המסורית יועדה לפעילות פלילית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ההגנה הפנתה לנסיבותיה האישיות של הנאשמת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נשואה ואם לחמישה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ההגנה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בנוגע לטרגדיה שאירעה לנאשמת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שלושה מילדיה נפגעו מכוויות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בעקבות שריפה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ההגנה טענה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מתחם העונש נמוך יותר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ההגנה עתרה להסתפק בעונש צופה פני עתיד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b/>
          <w:b/>
          <w:bCs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העבירה שעברה הנאשמת היא על הרף החמור האפשרי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מתוך מגוון העבירות שענינן הכנסת חפצים אסורים למתקן כליאה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זאת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היות שבניגוד למקרים אחרים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בהם נתפסו עבריינים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שניסו להחדיר לבית הכלא ציוד רדיו טלפון נייד</w:t>
      </w:r>
      <w:r>
        <w:rPr>
          <w:rFonts w:cs="Arial;Arial" w:ascii="Arial;Arial" w:hAnsi="Arial;Arial"/>
          <w:rtl w:val="true"/>
          <w:lang w:val="en-US" w:eastAsia="en-US"/>
        </w:rPr>
        <w:t xml:space="preserve">; </w:t>
      </w:r>
      <w:r>
        <w:rPr>
          <w:rFonts w:ascii="Arial;Arial" w:hAnsi="Arial;Arial" w:cs="Arial;Arial"/>
          <w:rtl w:val="true"/>
          <w:lang w:val="en-US" w:eastAsia="en-US"/>
        </w:rPr>
        <w:t>סמים מסוכנים</w:t>
      </w:r>
      <w:r>
        <w:rPr>
          <w:rFonts w:cs="Arial;Arial" w:ascii="Arial;Arial" w:hAnsi="Arial;Arial"/>
          <w:rtl w:val="true"/>
          <w:lang w:val="en-US" w:eastAsia="en-US"/>
        </w:rPr>
        <w:t xml:space="preserve">; </w:t>
      </w:r>
      <w:r>
        <w:rPr>
          <w:rFonts w:ascii="Arial;Arial" w:hAnsi="Arial;Arial" w:cs="Arial;Arial"/>
          <w:rtl w:val="true"/>
          <w:lang w:val="en-US" w:eastAsia="en-US"/>
        </w:rPr>
        <w:t>מדיה אסורה</w:t>
      </w:r>
      <w:r>
        <w:rPr>
          <w:rFonts w:cs="Arial;Arial" w:ascii="Arial;Arial" w:hAnsi="Arial;Arial"/>
          <w:rtl w:val="true"/>
          <w:lang w:val="en-US" w:eastAsia="en-US"/>
        </w:rPr>
        <w:t xml:space="preserve">; </w:t>
      </w:r>
      <w:r>
        <w:rPr>
          <w:rFonts w:ascii="Arial;Arial" w:hAnsi="Arial;Arial" w:cs="Arial;Arial"/>
          <w:rtl w:val="true"/>
          <w:lang w:val="en-US" w:eastAsia="en-US"/>
        </w:rPr>
        <w:t>וכיו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 xml:space="preserve">ב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במקרה דנן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המדובר ניסיון להעברת נשק קר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בעל פוטנציאל קטלני של ממש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להב מסור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באמצעותו ניתן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בקלות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לקטול אדם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הוסף לאמור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במקרה דנן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יועד הנשק הקר לאחי הנאשמת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המרצה מאסר ארוך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כפעיל טרור מובהק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שאף השתתף באימונים אסורים וכבר הורשע בלפחות שני מקרים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בהם השתמש בנשק חם ובנשק קר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במטרה לקטול חיילים או אזרחים תמימים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כשבאחד המקרים ניסה לרצוח אדם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תוך שימוש בסכין ורק בנס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לא הסתיים האירוע בקטילתו ובאודן חייו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האח עבר העבירות על רקע אידיאולוגי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תוך פעילות במסגרת ארגון טרור מסוכן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כאשר המדובר בהעברת חפץ אסור לאסיר בטחוני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קבע בית המשפט העליון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כי נלווית לעבירה זו חומרה מיוחדת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rial;Arial"/>
          <w:rtl w:val="true"/>
          <w:lang w:val="en-US" w:eastAsia="en-US"/>
        </w:rPr>
        <w:t xml:space="preserve">יפים לענין זה הדברים שנקבעו בפסק הדין </w:t>
      </w:r>
      <w:hyperlink r:id="rId51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1076/95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מדינת ישראל נ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קונטאר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ד נ</w:t>
        </w:r>
      </w:hyperlink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cs="Arial;Arial" w:ascii="Arial;Arial" w:hAnsi="Arial;Arial"/>
          <w:lang w:val="en-US" w:eastAsia="en-US"/>
        </w:rPr>
        <w:t>4</w:t>
      </w:r>
      <w:r>
        <w:rPr>
          <w:rFonts w:cs="Arial;Arial" w:ascii="Arial;Arial" w:hAnsi="Arial;Arial"/>
          <w:rtl w:val="true"/>
          <w:lang w:val="en-US" w:eastAsia="en-US"/>
        </w:rPr>
        <w:t xml:space="preserve">) </w:t>
      </w:r>
      <w:r>
        <w:rPr>
          <w:rFonts w:cs="Arial;Arial" w:ascii="Arial;Arial" w:hAnsi="Arial;Arial"/>
          <w:lang w:val="en-US" w:eastAsia="en-US"/>
        </w:rPr>
        <w:t>492</w:t>
      </w:r>
      <w:r>
        <w:rPr>
          <w:rFonts w:cs="Arial;Arial" w:ascii="Arial;Arial" w:hAnsi="Arial;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haroni"/>
          <w:lang w:val="en-US" w:eastAsia="en-US"/>
        </w:rPr>
      </w:pPr>
      <w:r>
        <w:rPr>
          <w:rFonts w:ascii="Arial;Arial" w:hAnsi="Arial;Arial" w:cs="Aharoni"/>
          <w:rtl w:val="true"/>
          <w:lang w:val="en-US" w:eastAsia="en-US"/>
        </w:rPr>
        <w:t>הסיווג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אסירים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ביטחוניים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כסוג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בפני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עצמו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נובע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הסכנה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המיוחדת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הטמונה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באסירים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אלה</w:t>
      </w:r>
      <w:r>
        <w:rPr>
          <w:rFonts w:cs="Aharoni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haroni"/>
          <w:rtl w:val="true"/>
          <w:lang w:val="en-US" w:eastAsia="en-US"/>
        </w:rPr>
        <w:t>ברוב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המקרים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משתייכים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לארגונים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בלתי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חוקיים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ששמו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להם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למטרה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לפגוע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במדינה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וקים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חשש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שהקשר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האסיר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לבין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הארגון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קים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ועומד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גם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בתקופת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המאסר</w:t>
      </w:r>
      <w:r>
        <w:rPr>
          <w:rFonts w:cs="Aharoni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haroni"/>
          <w:rtl w:val="true"/>
          <w:lang w:val="en-US" w:eastAsia="en-US"/>
        </w:rPr>
        <w:t>קשר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זה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וכן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הקשר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האסירים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הביטחוניים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לבין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עצמם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טומן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סכנות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מיוחדות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הן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מהבחינה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הסדר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בבית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הסוהר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והן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מהבחינה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ביטחון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המדינה</w:t>
      </w:r>
      <w:r>
        <w:rPr>
          <w:rFonts w:cs="Aharoni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haroni"/>
          <w:rtl w:val="true"/>
          <w:lang w:val="en-US" w:eastAsia="en-US"/>
        </w:rPr>
        <w:t>סכנות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אלה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עשויות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להצדיק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כליאתם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אסירים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ביטחוניים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בנפרד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והטלת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מגבלות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מיוחדות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עליהם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בעיקר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בכל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הנוגע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לקשר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החוץ</w:t>
      </w:r>
      <w:r>
        <w:rPr>
          <w:rFonts w:cs="Aharoni" w:ascii="Arial;Arial" w:hAnsi="Arial;Arial"/>
          <w:rtl w:val="true"/>
          <w:lang w:val="en-US" w:eastAsia="en-US"/>
        </w:rPr>
        <w:t xml:space="preserve">... </w:t>
      </w:r>
      <w:r>
        <w:rPr>
          <w:rFonts w:ascii="Arial;Arial" w:hAnsi="Arial;Arial" w:cs="Aharoni"/>
          <w:rtl w:val="true"/>
          <w:lang w:val="en-US" w:eastAsia="en-US"/>
        </w:rPr>
        <w:t>יש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לחלקם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ענין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בהפעלת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לחץ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ישראל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ידי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ביצוע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פיגועים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ביחוד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פיגועי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חטיפה</w:t>
      </w:r>
      <w:r>
        <w:rPr>
          <w:rFonts w:cs="Aharoni" w:ascii="Arial;Arial" w:hAnsi="Arial;Arial"/>
          <w:rtl w:val="true"/>
          <w:lang w:val="en-US" w:eastAsia="en-US"/>
        </w:rPr>
        <w:t>/</w:t>
      </w:r>
      <w:r>
        <w:rPr>
          <w:rFonts w:ascii="Arial;Arial" w:hAnsi="Arial;Arial" w:cs="Aharoni"/>
          <w:rtl w:val="true"/>
          <w:lang w:val="en-US" w:eastAsia="en-US"/>
        </w:rPr>
        <w:t>מיקוח</w:t>
      </w:r>
      <w:r>
        <w:rPr>
          <w:rFonts w:cs="Aharoni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 xml:space="preserve">בנסיבות אלה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העברת נשק קר קטלני לידי אחי הנאשמת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היא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בעולם המעשה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העברת אמצעי המאפשר לו לממש את כוונותיו הקטלניות הזדוניות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ופוטנציאל הסיכון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עצום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להב המסור הוא גם בעל פוטנציאל לשימושים נוספים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העלולים לפגוע במשמעת ובסדר בבית הכלא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ובין היתר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ניסור סורגים או חפירה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בהיעדר פסיקה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מהשנים האחרונות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בנוגע לניסיון החדרת נשק קר מסוג זה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או מסוג דומה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לבית כלא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תובא להלן פסיקה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שענינה ניסיון החדרת חפצים אסורים למתקני כליאה בכלל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במקרים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שענינם נסיון החדרת ציוד רדיו טלפון נייד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רט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ן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לכלא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פריט בודד או מספר פריטים בודדים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באופן חד פעמי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נקבע מתחם ענישה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שינוע בין שנה ועד שנתיים מאסר בפועל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ראו </w:t>
      </w:r>
      <w:r>
        <w:rPr>
          <w:rFonts w:ascii="Arial;Arial" w:hAnsi="Arial;Arial" w:cs="Arial;Arial"/>
          <w:rtl w:val="true"/>
        </w:rPr>
        <w:t xml:space="preserve">גזר הדין </w:t>
      </w:r>
      <w:hyperlink r:id="rId52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47805-11-14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סעדה ואח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;Arial" w:hAnsi="Arial;Arial" w:cs="Arial;Arial"/>
          <w:rtl w:val="true"/>
        </w:rPr>
        <w:t>באותו מקרה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נגזרו ענשי מאסר בני </w:t>
      </w:r>
      <w:r>
        <w:rPr>
          <w:rFonts w:cs="Arial;Arial" w:ascii="Arial;Arial" w:hAnsi="Arial;Arial"/>
        </w:rPr>
        <w:t>14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ו</w:t>
      </w:r>
      <w:r>
        <w:rPr>
          <w:rFonts w:cs="Arial;Arial" w:ascii="Arial;Arial" w:hAnsi="Arial;Arial"/>
          <w:rtl w:val="true"/>
        </w:rPr>
        <w:t>-</w:t>
      </w:r>
      <w:r>
        <w:rPr>
          <w:rFonts w:cs="Arial;Arial" w:ascii="Arial;Arial" w:hAnsi="Arial;Arial"/>
        </w:rPr>
        <w:t>18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חדשים על צעירה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תושבת אזור יהודה ושומרון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ללא </w:t>
      </w:r>
      <w:r>
        <w:rPr>
          <w:rFonts w:ascii="Arial;Arial" w:hAnsi="Arial;Arial" w:cs="Arial;Arial"/>
          <w:rtl w:val="true"/>
        </w:rPr>
        <w:t>הרשעות קודמות</w:t>
      </w:r>
      <w:r>
        <w:rPr>
          <w:rFonts w:cs="Arial;Arial" w:ascii="Arial;Arial" w:hAnsi="Arial;Arial"/>
          <w:rtl w:val="true"/>
        </w:rPr>
        <w:t>,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שהורשעה בהעברת מכש</w:t>
      </w:r>
      <w:r>
        <w:rPr>
          <w:rFonts w:ascii="Arial;Arial" w:hAnsi="Arial;Arial" w:cs="Arial;Arial"/>
          <w:rtl w:val="true"/>
        </w:rPr>
        <w:t>י</w:t>
      </w:r>
      <w:r>
        <w:rPr>
          <w:rFonts w:ascii="Arial;Arial" w:hAnsi="Arial;Arial" w:cs="Arial;Arial"/>
          <w:rtl w:val="true"/>
        </w:rPr>
        <w:t>ר רט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ן לכלא ועל האסיר הבטחוני אליו </w:t>
      </w:r>
      <w:r>
        <w:rPr>
          <w:rFonts w:ascii="Arial;Arial" w:hAnsi="Arial;Arial" w:cs="Arial;Arial"/>
          <w:rtl w:val="true"/>
        </w:rPr>
        <w:t>יועד</w:t>
      </w:r>
      <w:r>
        <w:rPr>
          <w:rFonts w:ascii="Arial;Arial" w:hAnsi="Arial;Arial" w:cs="Arial;Arial"/>
          <w:rtl w:val="true"/>
        </w:rPr>
        <w:t xml:space="preserve"> המכשיר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בהתאמה</w:t>
      </w:r>
      <w:r>
        <w:rPr>
          <w:rFonts w:cs="Arial;Arial" w:ascii="Arial;Arial" w:hAnsi="Arial;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;Arial" w:hAnsi="Arial;Arial" w:cs="Arial;Arial"/>
          <w:rtl w:val="true"/>
        </w:rPr>
        <w:t xml:space="preserve">בפסקי הדין </w:t>
      </w:r>
      <w:hyperlink r:id="rId53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ג 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824-09-15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סעדה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cs="Arial;Arial" w:ascii="Arial;Arial" w:hAnsi="Arial;Arial"/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 xml:space="preserve">, </w:t>
      </w:r>
      <w:hyperlink r:id="rId54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45871-07-15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סעדה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נדחו ערעורים על </w:t>
      </w:r>
      <w:r>
        <w:rPr>
          <w:rFonts w:ascii="Arial;Arial" w:hAnsi="Arial;Arial" w:cs="Arial;Arial"/>
          <w:rtl w:val="true"/>
        </w:rPr>
        <w:t>גזר</w:t>
      </w:r>
      <w:r>
        <w:rPr>
          <w:rFonts w:ascii="Arial;Arial" w:hAnsi="Arial;Arial" w:cs="Arial;Arial"/>
          <w:rtl w:val="true"/>
        </w:rPr>
        <w:t xml:space="preserve"> הדין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בית המשפט המחוזי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בשבתו כבית משפט לערעורים פליליים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הרכב </w:t>
      </w:r>
      <w:r>
        <w:rPr>
          <w:rFonts w:ascii="Arial;Arial" w:hAnsi="Arial;Arial" w:cs="Arial;Arial"/>
          <w:rtl w:val="true"/>
        </w:rPr>
        <w:t>בראשות</w:t>
      </w:r>
      <w:r>
        <w:rPr>
          <w:rFonts w:ascii="Arial;Arial" w:hAnsi="Arial;Arial" w:cs="Arial;Arial"/>
          <w:rtl w:val="true"/>
        </w:rPr>
        <w:t xml:space="preserve"> אב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ד הנשיא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דאז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כב</w:t>
      </w:r>
      <w:r>
        <w:rPr>
          <w:rFonts w:cs="Arial;Arial" w:ascii="Arial;Arial" w:hAnsi="Arial;Arial"/>
          <w:rtl w:val="true"/>
        </w:rPr>
        <w:t xml:space="preserve">' </w:t>
      </w:r>
      <w:r>
        <w:rPr>
          <w:rFonts w:ascii="Arial;Arial" w:hAnsi="Arial;Arial" w:cs="Arial;Arial"/>
          <w:rtl w:val="true"/>
        </w:rPr>
        <w:t>השופט</w:t>
      </w:r>
      <w:r>
        <w:rPr>
          <w:rFonts w:ascii="Arial;Arial" w:hAnsi="Arial;Arial" w:cs="Arial;Arial"/>
          <w:rtl w:val="true"/>
        </w:rPr>
        <w:t xml:space="preserve"> י</w:t>
      </w:r>
      <w:r>
        <w:rPr>
          <w:rFonts w:cs="Arial;Arial" w:ascii="Arial;Arial" w:hAnsi="Arial;Arial"/>
          <w:rtl w:val="true"/>
        </w:rPr>
        <w:t xml:space="preserve">' </w:t>
      </w:r>
      <w:r>
        <w:rPr>
          <w:rFonts w:ascii="Arial;Arial" w:hAnsi="Arial;Arial" w:cs="Arial;Arial"/>
          <w:rtl w:val="true"/>
        </w:rPr>
        <w:t>אלון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ציין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כי מקובלת עליו דעתו של בית המשפט קמא בדבר החומרה היתרה הנודעת להברחת ציוד תקשורת לתוך הכלא ולאגף בטחוני בכלא בפרט ומצא את העונש שנגזר 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הולם את חומרת המעשה</w:t>
      </w:r>
      <w:r>
        <w:rPr>
          <w:rFonts w:cs="Arial;Arial" w:ascii="Arial;Arial" w:hAnsi="Arial;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Arial;Arial" w:hAnsi="Arial;Arial" w:cs="Arial;Arial"/>
          <w:rtl w:val="true"/>
        </w:rPr>
        <w:t>גם בית המשפט העליון אישר את מתחם הענישה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תוך שהביא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במסגרת סקירת הפסיקה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את גזר הדין בענין </w:t>
      </w:r>
      <w:r>
        <w:rPr>
          <w:rFonts w:ascii="Arial;Arial" w:hAnsi="Arial;Arial" w:cs="Arial;Arial"/>
          <w:b/>
          <w:b/>
          <w:bCs/>
          <w:rtl w:val="true"/>
        </w:rPr>
        <w:t>סעדה</w:t>
      </w:r>
      <w:r>
        <w:rPr>
          <w:rFonts w:ascii="Arial;Arial" w:hAnsi="Arial;Arial" w:cs="Arial;Arial"/>
          <w:rtl w:val="true"/>
        </w:rPr>
        <w:t xml:space="preserve"> דלעיל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 xml:space="preserve">ראו </w:t>
      </w:r>
      <w:hyperlink r:id="rId55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3081/16</w:t>
        </w:r>
      </w:hyperlink>
      <w:r>
        <w:rPr>
          <w:rFonts w:cs="Arial;Arial" w:ascii="Arial;Arial" w:hAnsi="Arial;Arial"/>
          <w:rtl w:val="true"/>
        </w:rPr>
        <w:t xml:space="preserve">, </w:t>
      </w:r>
      <w:r>
        <w:rPr>
          <w:rFonts w:cs="Arial;Arial" w:ascii="Arial;Arial" w:hAnsi="Arial;Arial"/>
        </w:rPr>
        <w:t>3678/6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b/>
          <w:b/>
          <w:bCs/>
          <w:rtl w:val="true"/>
        </w:rPr>
        <w:t>בלחאוי ואח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לאחרונה</w:t>
      </w:r>
      <w:r>
        <w:rPr>
          <w:rFonts w:cs="Arial;Arial" w:ascii="Arial;Arial" w:hAnsi="Arial;Arial"/>
          <w:rtl w:val="true"/>
        </w:rPr>
        <w:t>,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 xml:space="preserve">חזר בית משפט זה על המתחם האמור בגזר הדין </w:t>
      </w:r>
      <w:hyperlink r:id="rId56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6691-06-16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אלהרימי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>)</w:t>
      </w:r>
      <w:r>
        <w:rPr>
          <w:rFonts w:cs="Arial;Arial" w:ascii="Arial;Arial" w:hAnsi="Arial;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בגזר הדין </w:t>
      </w:r>
      <w:hyperlink r:id="rId57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32228-11-15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מדינת ישראל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משאהרה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 xml:space="preserve">),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נדונה נאשמת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גם היא תושבת אזור יהודה ושומרון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צעירה ואם לשלושה ילדים רכים בשנים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אשר ניסתה להחדיר ציוד רט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ן למתקן כליאה בו מוחזק בעלה </w:t>
      </w:r>
      <w:r>
        <w:rPr>
          <w:rFonts w:cs="Arial;Arial" w:ascii="Arial;Arial" w:hAnsi="Arial;Arial"/>
          <w:rtl w:val="true"/>
        </w:rPr>
        <w:t xml:space="preserve">- </w:t>
      </w:r>
      <w:r>
        <w:rPr>
          <w:rFonts w:ascii="Arial;Arial" w:hAnsi="Arial;Arial" w:cs="Arial;Arial"/>
          <w:rtl w:val="true"/>
        </w:rPr>
        <w:t xml:space="preserve">לעונש מאסר בפועל בן </w:t>
      </w: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חדשים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זאת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במסגרת הסדר טווח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במסגרתו הגבילה התביעה עתירתה הענשית עד </w:t>
      </w: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 מאסר בפועל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בפסק הדין </w:t>
      </w:r>
      <w:hyperlink r:id="rId58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1485/10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ג</w:t>
      </w:r>
      <w:r>
        <w:rPr>
          <w:rFonts w:cs="Arial;Arial" w:ascii="Arial;Arial" w:hAnsi="Arial;Arial"/>
          <w:b/>
          <w:bCs/>
          <w:rtl w:val="true"/>
        </w:rPr>
        <w:t>'</w:t>
      </w:r>
      <w:r>
        <w:rPr>
          <w:rFonts w:ascii="Arial;Arial" w:hAnsi="Arial;Arial" w:cs="Arial;Arial"/>
          <w:b/>
          <w:b/>
          <w:bCs/>
          <w:rtl w:val="true"/>
        </w:rPr>
        <w:t>אן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;Arial" w:hAnsi="Arial;Arial" w:cs="Arial;Arial"/>
          <w:rtl w:val="true"/>
        </w:rPr>
        <w:t xml:space="preserve">אישר בית המשפט העליון עונש מאסר לריצוי בפועל בן </w:t>
      </w:r>
      <w:r>
        <w:rPr>
          <w:rFonts w:cs="Arial;Arial" w:ascii="Arial;Arial" w:hAnsi="Arial;Arial"/>
        </w:rPr>
        <w:t>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חודשים על מי שהיתה אם חד הורית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אשר בבואה לבקר אסיר החזיקה סמים מסוכנים מסוג הרואין וחשיש בתוך איבר מינה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זאת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היתה מכורה לסמים ופעלה מתוך מצוקה של ממש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בפסק הדין </w:t>
      </w:r>
      <w:hyperlink r:id="rId59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</w:rPr>
          <w:t>10361-08</w:t>
        </w:r>
      </w:hyperlink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זלוצ</w:t>
      </w:r>
      <w:r>
        <w:rPr>
          <w:rFonts w:cs="Arial;Arial" w:ascii="Arial;Arial" w:hAnsi="Arial;Arial"/>
          <w:b/>
          <w:bCs/>
          <w:rtl w:val="true"/>
        </w:rPr>
        <w:t>'</w:t>
      </w:r>
      <w:r>
        <w:rPr>
          <w:rFonts w:ascii="Arial;Arial" w:hAnsi="Arial;Arial" w:cs="Arial;Arial"/>
          <w:b/>
          <w:b/>
          <w:bCs/>
          <w:rtl w:val="true"/>
        </w:rPr>
        <w:t>בסקי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>מדינת ישראל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;Arial" w:hAnsi="Arial;Arial" w:cs="Arial;Arial"/>
          <w:rtl w:val="true"/>
        </w:rPr>
        <w:t xml:space="preserve">אישר בית המשפט העליון עונש מאסר בן </w:t>
      </w:r>
      <w:r>
        <w:rPr>
          <w:rFonts w:cs="Arial;Arial" w:ascii="Arial;Arial" w:hAnsi="Arial;Arial"/>
        </w:rPr>
        <w:t>18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חודשים לריצוי בפועל בגין ניסיון החדרת סם מסוכן מסוג הרואין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במשקל של שלושה </w:t>
      </w:r>
      <w:r>
        <w:rPr>
          <w:rFonts w:cs="Arial;Arial" w:ascii="Arial;Arial" w:hAnsi="Arial;Arial"/>
          <w:rtl w:val="true"/>
        </w:rPr>
        <w:t>(</w:t>
      </w:r>
      <w:r>
        <w:rPr>
          <w:rFonts w:cs="Arial;Arial" w:ascii="Arial;Arial" w:hAnsi="Arial;Arial"/>
        </w:rPr>
        <w:t>3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גרם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למתקן כליאה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זאת תוך הפעלת מאסר מותנה במצטבר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בפסק הדין רע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פ </w:t>
      </w:r>
      <w:r>
        <w:rPr>
          <w:rFonts w:cs="Arial;Arial" w:ascii="Arial;Arial" w:hAnsi="Arial;Arial"/>
        </w:rPr>
        <w:t>9707/06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</w:rPr>
        <w:t>אבוקסיס נ</w:t>
      </w:r>
      <w:r>
        <w:rPr>
          <w:rFonts w:cs="Arial;Arial" w:ascii="Arial;Arial" w:hAnsi="Arial;Arial"/>
          <w:b/>
          <w:bCs/>
          <w:rtl w:val="true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</w:rPr>
        <w:t xml:space="preserve">מדינת ישראל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פורסם במאגרים</w:t>
      </w:r>
      <w:r>
        <w:rPr>
          <w:rFonts w:cs="Arial;Arial" w:ascii="Arial;Arial" w:hAnsi="Arial;Arial"/>
          <w:rtl w:val="true"/>
        </w:rPr>
        <w:t xml:space="preserve">) </w:t>
      </w:r>
      <w:r>
        <w:rPr>
          <w:rFonts w:ascii="Arial;Arial" w:hAnsi="Arial;Arial" w:cs="Arial;Arial"/>
          <w:rtl w:val="true"/>
        </w:rPr>
        <w:t>אישר בית המשפט העליון את פסק דינו של בית המשפט המחוזי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בשבתו כבית משפט לערעורים פליליים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בו הוחמר עונשו של מי שניסה לספק לעציר סם מסוכן מסוג הרואין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במשקל </w:t>
      </w:r>
      <w:r>
        <w:rPr>
          <w:rFonts w:cs="Arial;Arial" w:ascii="Arial;Arial" w:hAnsi="Arial;Arial"/>
        </w:rPr>
        <w:t>18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גרם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מעונש של שנה לעונש של שלוש שנים מאסר בפועל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באותו מקרה המדובר היה בנאשם שלחובתו עבר פלילי וכן מאסר מותנה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בשינויים המחויבים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תוך מתן המשקל המתאים לחומרה היתרה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הנובעת מטיב החפץ האסור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שניסתה הנאשמת להחדיר במקרה דנן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נשק קר קטלני</w:t>
      </w:r>
      <w:r>
        <w:rPr>
          <w:rFonts w:cs="Arial;Arial" w:ascii="Arial;Arial" w:hAnsi="Arial;Arial"/>
          <w:rtl w:val="true"/>
          <w:lang w:val="en-US" w:eastAsia="en-US"/>
        </w:rPr>
        <w:t xml:space="preserve">; </w:t>
      </w:r>
      <w:r>
        <w:rPr>
          <w:rFonts w:ascii="Arial;Arial" w:hAnsi="Arial;Arial" w:cs="Arial;Arial"/>
          <w:rtl w:val="true"/>
          <w:lang w:val="en-US" w:eastAsia="en-US"/>
        </w:rPr>
        <w:t xml:space="preserve">וכן היעד אליו כוון הנשק הקר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אסיר בטחוני שהוא פעיל טרור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יועמד מתחם הענישה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במקרה דנן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בין </w:t>
      </w:r>
      <w:r>
        <w:rPr>
          <w:rFonts w:cs="Arial;Arial" w:ascii="Arial;Arial" w:hAnsi="Arial;Arial"/>
          <w:lang w:val="en-US" w:eastAsia="en-US"/>
        </w:rPr>
        <w:t>18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 xml:space="preserve">עד </w:t>
      </w:r>
      <w:r>
        <w:rPr>
          <w:rFonts w:cs="Arial;Arial" w:ascii="Arial;Arial" w:hAnsi="Arial;Arial"/>
          <w:lang w:val="en-US" w:eastAsia="en-US"/>
        </w:rPr>
        <w:t>36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>חדשים מאסר בפועל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אשר לקביעת הענישה במסגרת המתחם</w:t>
      </w:r>
      <w:r>
        <w:rPr>
          <w:rFonts w:cs="Arial;Arial" w:ascii="Arial;Arial" w:hAnsi="Arial;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 xml:space="preserve">נסיבותיה האישיות של הנאשמת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>אינן קלות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ולא נעלמה מעיני בית המשפט הטרגדיה המשפחתית שחוותה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rial;Arial"/>
          <w:rtl w:val="true"/>
          <w:lang w:val="en-US" w:eastAsia="en-US"/>
        </w:rPr>
        <w:t xml:space="preserve">אך כפי שנפסק לא פעם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כאשר המדובר בעבירה בעלת חומרה יתרה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 xml:space="preserve">ובמקרה דנן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העברת אמצעים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העלולים לשמש לקטילת אדם ואף לפיגוע חטיפה של סוהר או אסיר אחר</w:t>
      </w:r>
      <w:r>
        <w:rPr>
          <w:rFonts w:cs="Arial;Arial" w:ascii="Arial;Arial" w:hAnsi="Arial;Arial"/>
          <w:rtl w:val="true"/>
          <w:lang w:val="en-US" w:eastAsia="en-US"/>
        </w:rPr>
        <w:t xml:space="preserve">) </w:t>
      </w:r>
      <w:r>
        <w:rPr>
          <w:rFonts w:cs="Arial;Arial" w:ascii="Arial;Arial" w:hAnsi="Arial;Arial"/>
          <w:rtl w:val="true"/>
          <w:lang w:val="en-US" w:eastAsia="en-US"/>
        </w:rPr>
        <w:t>–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>נדחות הנסיבות האישיות מפני חומרת העבירה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הנאשמת כפרה בעבירות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הורשעה לאחר שמיעת ראיות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ולא הביעה חרטה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rial;Arial"/>
          <w:rtl w:val="true"/>
          <w:lang w:val="en-US" w:eastAsia="en-US"/>
        </w:rPr>
        <w:t>בנסיבות אלה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אינה זכאית להקלה לה זכאי מי שהודה ונטל אחריות על מעשיו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הנאשמת פעלה לסיוע לאח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שהוא אסיר בטחוני מורשע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מסוכן ביותר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ומסתמא </w:t>
      </w:r>
      <w:r>
        <w:rPr>
          <w:rFonts w:ascii="Arial;Arial" w:hAnsi="Arial;Arial" w:cs="Arial;Arial"/>
          <w:rtl w:val="true"/>
          <w:lang w:val="en-US" w:eastAsia="en-US"/>
        </w:rPr>
        <w:t>–</w:t>
      </w:r>
      <w:r>
        <w:rPr>
          <w:rFonts w:ascii="Arial;Arial" w:hAnsi="Arial;Arial" w:cs="Arial;Arial"/>
          <w:rtl w:val="true"/>
          <w:lang w:val="en-US" w:eastAsia="en-US"/>
        </w:rPr>
        <w:t xml:space="preserve"> כאחותו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הנתונה עמו בקשר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ומגיעה לבקרו </w:t>
      </w:r>
      <w:r>
        <w:rPr>
          <w:rFonts w:cs="Arial;Arial" w:ascii="Arial;Arial" w:hAnsi="Arial;Arial"/>
          <w:rtl w:val="true"/>
          <w:lang w:val="en-US" w:eastAsia="en-US"/>
        </w:rPr>
        <w:t xml:space="preserve">- </w:t>
      </w:r>
      <w:r>
        <w:rPr>
          <w:rFonts w:ascii="Arial;Arial" w:hAnsi="Arial;Arial" w:cs="Arial;Arial"/>
          <w:rtl w:val="true"/>
          <w:lang w:val="en-US" w:eastAsia="en-US"/>
        </w:rPr>
        <w:t>היתה מודעת לנסיבות אחזקתו בכליאה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כל אלה מצביעים על החמרה במסגרת מתחם הענישה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 xml:space="preserve">אשר להעדר הרשעות קודמות </w:t>
      </w:r>
      <w:r>
        <w:rPr>
          <w:rFonts w:cs="Arial;Arial" w:ascii="Arial;Arial" w:hAnsi="Arial;Arial"/>
          <w:rtl w:val="true"/>
          <w:lang w:val="en-US" w:eastAsia="en-US"/>
        </w:rPr>
        <w:t xml:space="preserve">- </w:t>
      </w:r>
      <w:r>
        <w:rPr>
          <w:rFonts w:ascii="Arial;Arial" w:hAnsi="Arial;Arial" w:cs="Arial;Arial"/>
          <w:rtl w:val="true"/>
          <w:lang w:val="en-US" w:eastAsia="en-US"/>
        </w:rPr>
        <w:t>אכן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הנאשמת לא הורשעה בעבר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rial;Arial"/>
          <w:rtl w:val="true"/>
          <w:lang w:val="en-US" w:eastAsia="en-US"/>
        </w:rPr>
        <w:t>ברם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לענין זה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כבר נקבע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כי כאשר המדובר בעבירות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שענינן נסיון החדרת חפצים אסורים למתקן כליאה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אין לייחס משקל מיוחד לנתון זה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 xml:space="preserve">היות שלרוב העבירות נעברות על ידי מי שהם בעלי חזות תמימה ונעדרים הרשעות קודמות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>על פי פקודות נציבות שב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ס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מי שהוא בעל הרשעות קודמות אינו מתקבל כלל לביקור אצל אסיר</w:t>
      </w:r>
      <w:r>
        <w:rPr>
          <w:rFonts w:cs="Arial;Arial" w:ascii="Arial;Arial" w:hAnsi="Arial;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haroni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ראו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לענין זה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פסק הדין</w:t>
      </w:r>
      <w:r>
        <w:rPr>
          <w:rFonts w:ascii="Arial;Arial" w:hAnsi="Arial;Arial" w:cs="Arial;Arial"/>
          <w:rtl w:val="true"/>
          <w:lang w:val="en-US" w:eastAsia="en-US"/>
        </w:rPr>
        <w:t xml:space="preserve"> </w:t>
      </w:r>
      <w:hyperlink r:id="rId60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5388/09</w:t>
        </w:r>
      </w:hyperlink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;Arial" w:ascii="Arial;Arial" w:hAnsi="Arial;Arial"/>
          <w:b/>
          <w:bCs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פלוני</w:t>
      </w:r>
      <w:r>
        <w:rPr>
          <w:rFonts w:ascii="Arial;Arial" w:hAnsi="Arial;Arial" w:cs="Arial;Arial"/>
          <w:rtl w:val="true"/>
          <w:lang w:val="en-US" w:eastAsia="en-US"/>
        </w:rPr>
        <w:t xml:space="preserve">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;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Arial;Arial" w:hAnsi="Arial;Arial" w:cs="Arial;Arial"/>
          <w:rtl w:val="true"/>
          <w:lang w:val="en-US" w:eastAsia="en-US"/>
        </w:rPr>
        <w:t xml:space="preserve">וערעור שכנגד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>פורסם במאגרים</w:t>
      </w:r>
      <w:r>
        <w:rPr>
          <w:rFonts w:cs="Arial;Arial" w:ascii="Arial;Arial" w:hAnsi="Arial;Arial"/>
          <w:rtl w:val="true"/>
          <w:lang w:val="en-US" w:eastAsia="en-US"/>
        </w:rPr>
        <w:t>)</w:t>
      </w:r>
      <w:r>
        <w:rPr>
          <w:rFonts w:cs="Arial;Arial" w:ascii="Arial;Arial" w:hAnsi="Arial;Arial"/>
          <w:rtl w:val="true"/>
          <w:lang w:val="en-US" w:eastAsia="en-US"/>
        </w:rPr>
        <w:t>,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>שם</w:t>
      </w:r>
      <w:r>
        <w:rPr>
          <w:rFonts w:ascii="Arial;Arial" w:hAnsi="Arial;Arial" w:cs="Arial;Arial"/>
          <w:rtl w:val="true"/>
          <w:lang w:val="en-US" w:eastAsia="en-US"/>
        </w:rPr>
        <w:t xml:space="preserve"> קבע כב</w:t>
      </w:r>
      <w:r>
        <w:rPr>
          <w:rFonts w:cs="Arial;Arial" w:ascii="Arial;Arial" w:hAnsi="Arial;Arial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rtl w:val="true"/>
          <w:lang w:val="en-US" w:eastAsia="en-US"/>
        </w:rPr>
        <w:t>השופט א</w:t>
      </w:r>
      <w:r>
        <w:rPr>
          <w:rFonts w:cs="Arial;Arial" w:ascii="Arial;Arial" w:hAnsi="Arial;Arial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rtl w:val="true"/>
          <w:lang w:val="en-US" w:eastAsia="en-US"/>
        </w:rPr>
        <w:t>א</w:t>
      </w:r>
      <w:r>
        <w:rPr>
          <w:rFonts w:cs="Arial;Arial" w:ascii="Arial;Arial" w:hAnsi="Arial;Arial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rtl w:val="true"/>
          <w:lang w:val="en-US" w:eastAsia="en-US"/>
        </w:rPr>
        <w:t xml:space="preserve">לוי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>מנוחתו עדן</w:t>
      </w:r>
      <w:r>
        <w:rPr>
          <w:rFonts w:cs="Arial;Arial" w:ascii="Arial;Arial" w:hAnsi="Arial;Arial"/>
          <w:rtl w:val="true"/>
          <w:lang w:val="en-US" w:eastAsia="en-US"/>
        </w:rPr>
        <w:t>)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בנוגע לנסיון החדרת סמים לכלא</w:t>
      </w:r>
      <w:r>
        <w:rPr>
          <w:rFonts w:cs="Arial;Arial" w:ascii="Arial;Arial" w:hAnsi="Arial;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haroni"/>
          <w:lang w:val="en-US" w:eastAsia="en-US"/>
        </w:rPr>
      </w:pPr>
      <w:r>
        <w:rPr>
          <w:rFonts w:cs="Aharoni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haroni"/>
          <w:lang w:val="en-US" w:eastAsia="en-US"/>
        </w:rPr>
      </w:pPr>
      <w:r>
        <w:rPr>
          <w:rFonts w:ascii="Arial;Arial" w:hAnsi="Arial;Arial" w:cs="Aharoni"/>
          <w:rtl w:val="true"/>
          <w:lang w:val="en-US" w:eastAsia="en-US"/>
        </w:rPr>
        <w:t>גורמי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שב</w:t>
      </w:r>
      <w:r>
        <w:rPr>
          <w:rFonts w:cs="Aharoni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haroni"/>
          <w:rtl w:val="true"/>
          <w:lang w:val="en-US" w:eastAsia="en-US"/>
        </w:rPr>
        <w:t>ס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נלחמים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בתופעה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זו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עקב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השלכותיה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על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החיים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בכלא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ולצורך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זה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נוקטים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באמצעים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מגוונים</w:t>
      </w:r>
      <w:r>
        <w:rPr>
          <w:rFonts w:cs="Aharoni" w:ascii="Arial;Arial" w:hAnsi="Arial;Arial"/>
          <w:rtl w:val="true"/>
          <w:lang w:val="en-US" w:eastAsia="en-US"/>
        </w:rPr>
        <w:t xml:space="preserve">. </w:t>
      </w:r>
      <w:r>
        <w:rPr>
          <w:rFonts w:ascii="Arial;Arial" w:hAnsi="Arial;Arial" w:cs="Aharoni"/>
          <w:rtl w:val="true"/>
          <w:lang w:val="en-US" w:eastAsia="en-US"/>
        </w:rPr>
        <w:t>אולם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הניסיונות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לעקוף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אמצעי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האבטחה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נמשכים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ללא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הרף</w:t>
      </w:r>
      <w:r>
        <w:rPr>
          <w:rFonts w:cs="Aharoni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rtl w:val="true"/>
          <w:lang w:val="en-US" w:eastAsia="en-US"/>
        </w:rPr>
        <w:t>ואחד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האמצעים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המשמשים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לכך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הוא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החדרת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הסם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באמצעות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בעלי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חזות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תמימה</w:t>
      </w:r>
      <w:r>
        <w:rPr>
          <w:rFonts w:cs="Aharoni" w:ascii="Arial;Arial" w:hAnsi="Arial;Arial"/>
          <w:u w:val="single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u w:val="single"/>
          <w:rtl w:val="true"/>
          <w:lang w:val="en-US" w:eastAsia="en-US"/>
        </w:rPr>
        <w:t>ללא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עבר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פלילי</w:t>
      </w:r>
      <w:r>
        <w:rPr>
          <w:rFonts w:cs="Aharoni" w:ascii="Arial;Arial" w:hAnsi="Arial;Arial"/>
          <w:u w:val="single"/>
          <w:rtl w:val="true"/>
          <w:lang w:val="en-US" w:eastAsia="en-US"/>
        </w:rPr>
        <w:t xml:space="preserve">, </w:t>
      </w:r>
      <w:r>
        <w:rPr>
          <w:rFonts w:ascii="Arial;Arial" w:hAnsi="Arial;Arial" w:cs="Aharoni"/>
          <w:u w:val="single"/>
          <w:rtl w:val="true"/>
          <w:lang w:val="en-US" w:eastAsia="en-US"/>
        </w:rPr>
        <w:t>וככל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שצעירים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הם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–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כן</w:t>
      </w:r>
      <w:r>
        <w:rPr>
          <w:rFonts w:ascii="Arial;Arial" w:hAnsi="Arial;Arial" w:eastAsia="Arial;Arial" w:cs="Arial;Arial"/>
          <w:u w:val="single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u w:val="single"/>
          <w:rtl w:val="true"/>
          <w:lang w:val="en-US" w:eastAsia="en-US"/>
        </w:rPr>
        <w:t>ייטב</w:t>
      </w:r>
      <w:r>
        <w:rPr>
          <w:rFonts w:cs="Aharoni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lang w:val="en-US" w:eastAsia="en-US"/>
        </w:rPr>
      </w:pPr>
      <w:r>
        <w:rPr>
          <w:rFonts w:cs="Aharoni" w:ascii="Arial;Arial" w:hAnsi="Arial;Arial"/>
          <w:rtl w:val="true"/>
          <w:lang w:val="en-US" w:eastAsia="en-US"/>
        </w:rPr>
        <w:t>[</w:t>
      </w:r>
      <w:r>
        <w:rPr>
          <w:rFonts w:ascii="Arial;Arial" w:hAnsi="Arial;Arial" w:cs="Aharoni"/>
          <w:rtl w:val="true"/>
          <w:lang w:val="en-US" w:eastAsia="en-US"/>
        </w:rPr>
        <w:t>ההדגשה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אינה</w:t>
      </w:r>
      <w:r>
        <w:rPr>
          <w:rFonts w:ascii="Arial;Arial" w:hAnsi="Arial;Arial" w:eastAsia="Arial;Arial" w:cs="Arial;Arial"/>
          <w:rtl w:val="true"/>
          <w:lang w:val="en-US" w:eastAsia="en-US"/>
        </w:rPr>
        <w:t xml:space="preserve"> </w:t>
      </w:r>
      <w:r>
        <w:rPr>
          <w:rFonts w:ascii="Arial;Arial" w:hAnsi="Arial;Arial" w:cs="Aharoni"/>
          <w:rtl w:val="true"/>
          <w:lang w:val="en-US" w:eastAsia="en-US"/>
        </w:rPr>
        <w:t>במקור</w:t>
      </w:r>
      <w:r>
        <w:rPr>
          <w:rFonts w:cs="Aharoni" w:ascii="Arial;Arial" w:hAnsi="Arial;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lang w:val="en-US" w:eastAsia="en-US"/>
        </w:rPr>
      </w:pPr>
      <w:r>
        <w:rPr>
          <w:rFonts w:cs="Arial;Arial" w:ascii="Arial;Arial" w:hAnsi="Arial;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עוד ראו קביעות דומות בפסק דינו של בית המשפט המחוזי בבאר שבע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הרכב ערעורים פליליים בראשות אב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ד כב</w:t>
      </w:r>
      <w:r>
        <w:rPr>
          <w:rFonts w:cs="Arial;Arial" w:ascii="Arial;Arial" w:hAnsi="Arial;Arial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rtl w:val="true"/>
          <w:lang w:val="en-US" w:eastAsia="en-US"/>
        </w:rPr>
        <w:t>ס</w:t>
      </w:r>
      <w:r>
        <w:rPr>
          <w:rFonts w:cs="Arial;Arial" w:ascii="Arial;Arial" w:hAnsi="Arial;Arial"/>
          <w:rtl w:val="true"/>
          <w:lang w:val="en-US" w:eastAsia="en-US"/>
        </w:rPr>
        <w:t>.</w:t>
      </w:r>
      <w:r>
        <w:rPr>
          <w:rFonts w:ascii="Arial;Arial" w:hAnsi="Arial;Arial" w:cs="Arial;Arial"/>
          <w:rtl w:val="true"/>
          <w:lang w:val="en-US" w:eastAsia="en-US"/>
        </w:rPr>
        <w:t>נ</w:t>
      </w:r>
      <w:r>
        <w:rPr>
          <w:rFonts w:cs="Arial;Arial" w:ascii="Arial;Arial" w:hAnsi="Arial;Arial"/>
          <w:rtl w:val="true"/>
          <w:lang w:val="en-US" w:eastAsia="en-US"/>
        </w:rPr>
        <w:t>. (</w:t>
      </w:r>
      <w:r>
        <w:rPr>
          <w:rFonts w:ascii="Arial;Arial" w:hAnsi="Arial;Arial" w:cs="Arial;Arial"/>
          <w:rtl w:val="true"/>
          <w:lang w:val="en-US" w:eastAsia="en-US"/>
        </w:rPr>
        <w:t>כתוארה אז</w:t>
      </w:r>
      <w:r>
        <w:rPr>
          <w:rFonts w:cs="Arial;Arial" w:ascii="Arial;Arial" w:hAnsi="Arial;Arial"/>
          <w:rtl w:val="true"/>
          <w:lang w:val="en-US" w:eastAsia="en-US"/>
        </w:rPr>
        <w:t xml:space="preserve">) </w:t>
      </w:r>
      <w:r>
        <w:rPr>
          <w:rFonts w:ascii="Arial;Arial" w:hAnsi="Arial;Arial" w:cs="Arial;Arial"/>
          <w:rtl w:val="true"/>
          <w:lang w:val="en-US" w:eastAsia="en-US"/>
        </w:rPr>
        <w:t>השופטת ר</w:t>
      </w:r>
      <w:r>
        <w:rPr>
          <w:rFonts w:cs="Arial;Arial" w:ascii="Arial;Arial" w:hAnsi="Arial;Arial"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rtl w:val="true"/>
          <w:lang w:val="en-US" w:eastAsia="en-US"/>
        </w:rPr>
        <w:t>יפה</w:t>
      </w:r>
      <w:r>
        <w:rPr>
          <w:rFonts w:cs="Arial;Arial" w:ascii="Arial;Arial" w:hAnsi="Arial;Arial"/>
          <w:rtl w:val="true"/>
          <w:lang w:val="en-US" w:eastAsia="en-US"/>
        </w:rPr>
        <w:t>-</w:t>
      </w:r>
      <w:r>
        <w:rPr>
          <w:rFonts w:ascii="Arial;Arial" w:hAnsi="Arial;Arial" w:cs="Arial;Arial"/>
          <w:rtl w:val="true"/>
          <w:lang w:val="en-US" w:eastAsia="en-US"/>
        </w:rPr>
        <w:t>כ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ץ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hyperlink r:id="rId61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1650-05-15</w:t>
        </w:r>
      </w:hyperlink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אבו לטיף נ</w:t>
      </w:r>
      <w:r>
        <w:rPr>
          <w:rFonts w:cs="Arial;Arial" w:ascii="Arial;Arial" w:hAnsi="Arial;Arial"/>
          <w:b/>
          <w:bCs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;Arial" w:hAnsi="Arial;Arial" w:cs="Arial;Arial"/>
          <w:rtl w:val="true"/>
          <w:lang w:val="en-US" w:eastAsia="en-US"/>
        </w:rPr>
        <w:t xml:space="preserve">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>פורסם במאגרים</w:t>
      </w:r>
      <w:r>
        <w:rPr>
          <w:rFonts w:cs="Arial;Arial" w:ascii="Arial;Arial" w:hAnsi="Arial;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;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ascii="Arial;Arial" w:hAnsi="Arial;Arial" w:cs="Arial;Arial"/>
          <w:rtl w:val="true"/>
          <w:lang w:val="en-US" w:eastAsia="en-US"/>
        </w:rPr>
        <w:t>ובגזר דינו של בית משפט זה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hyperlink r:id="rId62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Arial;Arial" w:hAnsi="Arial;Arial" w:cs="Arial;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;Arial" w:ascii="Arial;Arial" w:hAnsi="Arial;Arial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Arial;Arial" w:ascii="Arial;Arial" w:hAnsi="Arial;Arial"/>
            <w:color w:val="0000FF"/>
            <w:u w:val="single"/>
            <w:lang w:val="en-US" w:eastAsia="en-US"/>
          </w:rPr>
          <w:t>21952-10-14</w:t>
        </w:r>
      </w:hyperlink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מדינת ישראל נ</w:t>
      </w:r>
      <w:r>
        <w:rPr>
          <w:rFonts w:cs="Arial;Arial" w:ascii="Arial;Arial" w:hAnsi="Arial;Arial"/>
          <w:b/>
          <w:bCs/>
          <w:rtl w:val="true"/>
          <w:lang w:val="en-US" w:eastAsia="en-US"/>
        </w:rPr>
        <w:t xml:space="preserve">' </w:t>
      </w:r>
      <w:r>
        <w:rPr>
          <w:rFonts w:ascii="Arial;Arial" w:hAnsi="Arial;Arial" w:cs="Arial;Arial"/>
          <w:b/>
          <w:b/>
          <w:bCs/>
          <w:rtl w:val="true"/>
          <w:lang w:val="en-US" w:eastAsia="en-US"/>
        </w:rPr>
        <w:t>אבו לטיף</w:t>
      </w:r>
      <w:r>
        <w:rPr>
          <w:rFonts w:ascii="Arial;Arial" w:hAnsi="Arial;Arial" w:cs="Arial;Arial"/>
          <w:rtl w:val="true"/>
          <w:lang w:val="en-US" w:eastAsia="en-US"/>
        </w:rPr>
        <w:t xml:space="preserve"> </w:t>
      </w:r>
      <w:r>
        <w:rPr>
          <w:rFonts w:cs="Arial;Arial" w:ascii="Arial;Arial" w:hAnsi="Arial;Arial"/>
          <w:rtl w:val="true"/>
          <w:lang w:val="en-US" w:eastAsia="en-US"/>
        </w:rPr>
        <w:t>(</w:t>
      </w:r>
      <w:r>
        <w:rPr>
          <w:rFonts w:ascii="Arial;Arial" w:hAnsi="Arial;Arial" w:cs="Arial;Arial"/>
          <w:rtl w:val="true"/>
          <w:lang w:val="en-US" w:eastAsia="en-US"/>
        </w:rPr>
        <w:t>פורסם במאגרים</w:t>
      </w:r>
      <w:r>
        <w:rPr>
          <w:rFonts w:cs="Arial;Arial" w:ascii="Arial;Arial" w:hAnsi="Arial;Arial"/>
          <w:rtl w:val="true"/>
          <w:lang w:val="en-US" w:eastAsia="en-US"/>
        </w:rPr>
        <w:t xml:space="preserve">) </w:t>
      </w:r>
      <w:r>
        <w:rPr>
          <w:sz w:val="22"/>
          <w:rtl w:val="true"/>
          <w:lang w:val="en-US" w:eastAsia="en-US"/>
        </w:rPr>
        <w:t>[</w:t>
      </w:r>
      <w:r>
        <w:rPr>
          <w:sz w:val="22"/>
          <w:sz w:val="22"/>
          <w:rtl w:val="true"/>
          <w:lang w:val="en-US" w:eastAsia="en-US"/>
        </w:rPr>
        <w:t>פורסם</w:t>
      </w:r>
      <w:r>
        <w:rPr>
          <w:rFonts w:cs="Times New Roman;Times New Roman"/>
          <w:sz w:val="22"/>
          <w:sz w:val="22"/>
          <w:rtl w:val="true"/>
          <w:lang w:val="en-US" w:eastAsia="en-US"/>
        </w:rPr>
        <w:t xml:space="preserve"> </w:t>
      </w:r>
      <w:r>
        <w:rPr>
          <w:sz w:val="22"/>
          <w:sz w:val="22"/>
          <w:rtl w:val="true"/>
          <w:lang w:val="en-US" w:eastAsia="en-US"/>
        </w:rPr>
        <w:t>בנבו</w:t>
      </w:r>
      <w:r>
        <w:rPr>
          <w:sz w:val="22"/>
          <w:rtl w:val="true"/>
          <w:lang w:val="en-US" w:eastAsia="en-US"/>
        </w:rPr>
        <w:t xml:space="preserve">] 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אשר לטענה בנוגע לחלוף הזמן</w:t>
      </w:r>
      <w:r>
        <w:rPr>
          <w:rFonts w:cs="Arial;Arial" w:ascii="Arial;Arial" w:hAnsi="Arial;Arial"/>
          <w:rtl w:val="true"/>
          <w:lang w:val="en-US" w:eastAsia="en-US"/>
        </w:rPr>
        <w:t xml:space="preserve">: </w:t>
      </w:r>
      <w:r>
        <w:rPr>
          <w:rFonts w:ascii="Arial;Arial" w:hAnsi="Arial;Arial" w:cs="Arial;Arial"/>
          <w:rtl w:val="true"/>
          <w:lang w:val="en-US" w:eastAsia="en-US"/>
        </w:rPr>
        <w:t>אכן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נותנת הנאשמת את הדין על מעשיה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בחלוף תקופה בת כחמש שנים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לאחר המעשים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ברם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במקרה דנן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אין לזקוף את חלוף הזמן לחובת התביעה הכללית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אשר הגישה כתב האישום בסמוך לעבירות</w:t>
      </w:r>
      <w:r>
        <w:rPr>
          <w:rFonts w:cs="Arial;Arial" w:ascii="Arial;Arial" w:hAnsi="Arial;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r>
        <w:rPr>
          <w:rFonts w:ascii="Arial;Arial" w:hAnsi="Arial;Arial" w:cs="Arial;Arial"/>
          <w:rtl w:val="true"/>
          <w:lang w:val="en-US" w:eastAsia="en-US"/>
        </w:rPr>
        <w:t>למעשה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התמשך הדיון בפרשה זו בשל נסיבות שלא הותירו אפשרות אחרת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אשר מרביתן קשורות עם ההגנה</w:t>
      </w:r>
      <w:r>
        <w:rPr>
          <w:rFonts w:cs="Arial;Arial" w:ascii="Arial;Arial" w:hAnsi="Arial;Arial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מספר דיונים נדחו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לתקופות ארוכות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בשל מחלה קשה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ממנה סבל הסניגור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איחולי החלמה</w:t>
      </w:r>
      <w:r>
        <w:rPr>
          <w:rFonts w:cs="Arial;Arial" w:ascii="Arial;Arial" w:hAnsi="Arial;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מספר דיונים נדחו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בשל היות הנאשמת בשמירת הריון או לאחר לידה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כאשר במהלך שמיעת תיק זה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הביאה לעולם ארבעה ילדים נוספים</w:t>
      </w:r>
      <w:r>
        <w:rPr>
          <w:rFonts w:cs="Arial;Arial" w:ascii="Arial;Arial" w:hAnsi="Arial;Arial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מספר דיונים נדחו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בשל אי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התייצבות הנאשמת בבית המשפט וכן בשירות המבחן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יצוין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בחלק מהמקרים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נמנעה התייצבות הנאשמת בשל אי</w:t>
      </w:r>
      <w:r>
        <w:rPr>
          <w:rFonts w:cs="Arial;Arial" w:ascii="Arial;Arial" w:hAnsi="Arial;Arial"/>
          <w:rtl w:val="true"/>
        </w:rPr>
        <w:t>-</w:t>
      </w:r>
      <w:r>
        <w:rPr>
          <w:rFonts w:ascii="Arial;Arial" w:hAnsi="Arial;Arial" w:cs="Arial;Arial"/>
          <w:rtl w:val="true"/>
        </w:rPr>
        <w:t>ביצוע צו הבאה על ידי משטרת ישראל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מאילוצים שונים </w:t>
      </w:r>
      <w:r>
        <w:rPr>
          <w:rFonts w:cs="Arial;Arial" w:ascii="Arial;Arial" w:hAnsi="Arial;Arial"/>
          <w:rtl w:val="true"/>
        </w:rPr>
        <w:t>(</w:t>
      </w:r>
      <w:r>
        <w:rPr>
          <w:rFonts w:ascii="Arial;Arial" w:hAnsi="Arial;Arial" w:cs="Arial;Arial"/>
          <w:rtl w:val="true"/>
        </w:rPr>
        <w:t>הנאשמת הובאה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בכל פעם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 xml:space="preserve">בצו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בהסכמת ההגנה</w:t>
      </w:r>
      <w:r>
        <w:rPr>
          <w:rFonts w:cs="Arial;Arial" w:ascii="Arial;Arial" w:hAnsi="Arial;Arial"/>
          <w:rtl w:val="true"/>
        </w:rPr>
        <w:t xml:space="preserve">). </w:t>
      </w:r>
      <w:r>
        <w:rPr>
          <w:rFonts w:ascii="Arial;Arial" w:hAnsi="Arial;Arial" w:cs="Arial;Arial"/>
          <w:rtl w:val="true"/>
        </w:rPr>
        <w:t>ברם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בחלק ממקרים אלה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ניתן היה להסדיר התייצבותה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לו היתה ההגנה פונה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בנושא זה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לתביעה או לבית המשפט בזמן אמת</w:t>
      </w:r>
      <w:r>
        <w:rPr>
          <w:rFonts w:cs="Arial;Arial" w:ascii="Arial;Arial" w:hAnsi="Arial;Arial"/>
          <w:rtl w:val="true"/>
        </w:rPr>
        <w:t xml:space="preserve">. </w:t>
      </w:r>
      <w:r>
        <w:rPr>
          <w:rFonts w:ascii="Arial;Arial" w:hAnsi="Arial;Arial" w:cs="Arial;Arial"/>
          <w:rtl w:val="true"/>
        </w:rPr>
        <w:t>כך שבסופו של דבר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מרבית המקרים נזקפים לחובת ההגנה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למרות כל האמור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ינתן משקל מסוים לחלוף הזמן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אשר יש בו כדי ללמד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כי הנאשמת לא נתפסה עוד בעבירות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במהלך תקופה משמעותית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בשל עובדה זו בלבד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יועמד ענשה של הנאשמת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בסופו של דבר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על הרף הנמוך של המתחם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 xml:space="preserve">בנסיבות הענין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אין בית המשפט מוצא לגזור קנס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לאור כל האמור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גוזר בית המשפט על הנאשמת הענשים כדלקמן</w:t>
      </w:r>
      <w:r>
        <w:rPr>
          <w:rFonts w:cs="Arial;Arial" w:ascii="Arial;Arial" w:hAnsi="Arial;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18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חדשים מאסר בפועל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בניכוי ימי מעצרה בהתאם לרישומי שב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>ס</w:t>
      </w:r>
      <w:r>
        <w:rPr>
          <w:rFonts w:cs="Arial;Arial" w:ascii="Arial;Arial" w:hAnsi="Arial;Arial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  <w:t>12</w:t>
      </w:r>
      <w:r>
        <w:rPr>
          <w:rFonts w:cs="Arial;Arial" w:ascii="Arial;Arial" w:hAnsi="Arial;Arial"/>
          <w:rtl w:val="true"/>
        </w:rPr>
        <w:t xml:space="preserve"> </w:t>
      </w:r>
      <w:r>
        <w:rPr>
          <w:rFonts w:ascii="Arial;Arial" w:hAnsi="Arial;Arial" w:cs="Arial;Arial"/>
          <w:rtl w:val="true"/>
        </w:rPr>
        <w:t>חדשים מאסר על תנאי למשך שלוש שנים מיום שחרורה של הנאשמת ממאסר</w:t>
      </w:r>
      <w:r>
        <w:rPr>
          <w:rFonts w:cs="Arial;Arial" w:ascii="Arial;Arial" w:hAnsi="Arial;Arial"/>
          <w:rtl w:val="true"/>
        </w:rPr>
        <w:t xml:space="preserve">, </w:t>
      </w:r>
      <w:r>
        <w:rPr>
          <w:rFonts w:ascii="Arial;Arial" w:hAnsi="Arial;Arial" w:cs="Arial;Arial"/>
          <w:rtl w:val="true"/>
        </w:rPr>
        <w:t>שלא תעבור עבירה בניגוד ל</w:t>
      </w:r>
      <w:hyperlink r:id="rId63">
        <w:r>
          <w:rPr>
            <w:rStyle w:val="Hyperlink"/>
            <w:rFonts w:ascii="Arial;Arial" w:hAnsi="Arial;Arial" w:cs="Arial;Arial"/>
            <w:color w:val="0000FF"/>
            <w:u w:val="single"/>
            <w:rtl w:val="true"/>
          </w:rPr>
          <w:t>פקודת בתי הסוהר</w:t>
        </w:r>
      </w:hyperlink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  <w:rtl w:val="true"/>
        </w:rPr>
        <w:t>[</w:t>
      </w:r>
      <w:r>
        <w:rPr>
          <w:rFonts w:ascii="Arial;Arial" w:hAnsi="Arial;Arial" w:cs="Arial;Arial"/>
          <w:rtl w:val="true"/>
        </w:rPr>
        <w:t>נוסח חדש</w:t>
      </w:r>
      <w:r>
        <w:rPr>
          <w:rFonts w:cs="Arial;Arial" w:ascii="Arial;Arial" w:hAnsi="Arial;Arial"/>
          <w:rtl w:val="true"/>
        </w:rPr>
        <w:t xml:space="preserve">], </w:t>
      </w:r>
      <w:r>
        <w:rPr>
          <w:rFonts w:ascii="Arial;Arial" w:hAnsi="Arial;Arial" w:cs="Arial;Arial"/>
          <w:rtl w:val="true"/>
        </w:rPr>
        <w:t>תשל</w:t>
      </w:r>
      <w:r>
        <w:rPr>
          <w:rFonts w:cs="Arial;Arial" w:ascii="Arial;Arial" w:hAnsi="Arial;Arial"/>
          <w:rtl w:val="true"/>
        </w:rPr>
        <w:t>"</w:t>
      </w:r>
      <w:r>
        <w:rPr>
          <w:rFonts w:ascii="Arial;Arial" w:hAnsi="Arial;Arial" w:cs="Arial;Arial"/>
          <w:rtl w:val="true"/>
        </w:rPr>
        <w:t xml:space="preserve">ב </w:t>
      </w:r>
      <w:r>
        <w:rPr>
          <w:rFonts w:ascii="Arial;Arial" w:hAnsi="Arial;Arial" w:cs="Arial;Arial"/>
          <w:rtl w:val="true"/>
        </w:rPr>
        <w:t>–</w:t>
      </w:r>
      <w:r>
        <w:rPr>
          <w:rFonts w:ascii="Arial;Arial" w:hAnsi="Arial;Arial" w:cs="Arial;Arial"/>
          <w:rtl w:val="true"/>
        </w:rPr>
        <w:t xml:space="preserve"> </w:t>
      </w:r>
      <w:r>
        <w:rPr>
          <w:rFonts w:cs="Arial;Arial" w:ascii="Arial;Arial" w:hAnsi="Arial;Arial"/>
        </w:rPr>
        <w:t>1971</w:t>
      </w:r>
      <w:r>
        <w:rPr>
          <w:rFonts w:cs="Arial;Arial" w:ascii="Arial;Arial" w:hAnsi="Arial;Arial"/>
          <w:rtl w:val="true"/>
        </w:rPr>
        <w:t xml:space="preserve">; </w:t>
      </w:r>
      <w:r>
        <w:rPr>
          <w:rFonts w:ascii="Arial;Arial" w:hAnsi="Arial;Arial" w:cs="Arial;Arial"/>
          <w:rtl w:val="true"/>
        </w:rPr>
        <w:t>עבירה שענינה אחזקה או שימוש בנשק קר או חם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הנאשמת תיאסר כעת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</w:rPr>
      </w:pPr>
      <w:r>
        <w:rPr>
          <w:rFonts w:ascii="Arial;Arial" w:hAnsi="Arial;Arial" w:cs="Arial;Arial"/>
          <w:rtl w:val="true"/>
        </w:rPr>
        <w:t>הודעה זכות הערעור</w:t>
      </w:r>
      <w:r>
        <w:rPr>
          <w:rFonts w:cs="Arial;Arial" w:ascii="Arial;Arial" w:hAnsi="Arial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color w:val="FFFFFF"/>
          <w:sz w:val="2"/>
          <w:szCs w:val="2"/>
          <w:lang w:val="en-US" w:eastAsia="en-US"/>
        </w:rPr>
      </w:pPr>
      <w:r>
        <w:rPr>
          <w:rFonts w:cs="Arial;Arial" w:ascii="Arial;Arial" w:hAnsi="Arial;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color w:val="FFFFFF"/>
          <w:sz w:val="2"/>
          <w:szCs w:val="2"/>
          <w:lang w:val="en-US" w:eastAsia="en-US"/>
        </w:rPr>
      </w:pPr>
      <w:r>
        <w:rPr>
          <w:rFonts w:cs="Arial;Arial" w:ascii="Arial;Arial" w:hAnsi="Arial;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color w:val="FFFFFF"/>
          <w:sz w:val="2"/>
          <w:szCs w:val="2"/>
          <w:lang w:val="en-US" w:eastAsia="en-US"/>
        </w:rPr>
      </w:pPr>
      <w:r>
        <w:rPr>
          <w:rFonts w:cs="Arial;Arial" w:ascii="Arial;Arial" w:hAnsi="Arial;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lang w:val="en-US" w:eastAsia="en-US"/>
        </w:rPr>
      </w:pPr>
      <w:bookmarkStart w:id="10" w:name="Nitan"/>
      <w:r>
        <w:rPr>
          <w:rFonts w:ascii="Arial;Arial" w:hAnsi="Arial;Arial" w:cs="Arial;Arial"/>
          <w:rtl w:val="true"/>
          <w:lang w:val="en-US" w:eastAsia="en-US"/>
        </w:rPr>
        <w:t>ניתנה היום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כ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ה אלול תשע</w:t>
      </w:r>
      <w:r>
        <w:rPr>
          <w:rFonts w:cs="Arial;Arial" w:ascii="Arial;Arial" w:hAnsi="Arial;Arial"/>
          <w:rtl w:val="true"/>
          <w:lang w:val="en-US" w:eastAsia="en-US"/>
        </w:rPr>
        <w:t>"</w:t>
      </w:r>
      <w:r>
        <w:rPr>
          <w:rFonts w:ascii="Arial;Arial" w:hAnsi="Arial;Arial" w:cs="Arial;Arial"/>
          <w:rtl w:val="true"/>
          <w:lang w:val="en-US" w:eastAsia="en-US"/>
        </w:rPr>
        <w:t>ט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cs="Arial;Arial" w:ascii="Arial;Arial" w:hAnsi="Arial;Arial"/>
          <w:lang w:val="en-US" w:eastAsia="en-US"/>
        </w:rPr>
        <w:t>25</w:t>
      </w:r>
      <w:r>
        <w:rPr>
          <w:rFonts w:cs="Arial;Arial" w:ascii="Arial;Arial" w:hAnsi="Arial;Arial"/>
          <w:rtl w:val="true"/>
          <w:lang w:val="en-US" w:eastAsia="en-US"/>
        </w:rPr>
        <w:t xml:space="preserve"> </w:t>
      </w:r>
      <w:r>
        <w:rPr>
          <w:rFonts w:ascii="Arial;Arial" w:hAnsi="Arial;Arial" w:cs="Arial;Arial"/>
          <w:rtl w:val="true"/>
          <w:lang w:val="en-US" w:eastAsia="en-US"/>
        </w:rPr>
        <w:t xml:space="preserve">ספטמבר </w:t>
      </w:r>
      <w:r>
        <w:rPr>
          <w:rFonts w:cs="Arial;Arial" w:ascii="Arial;Arial" w:hAnsi="Arial;Arial"/>
          <w:lang w:val="en-US" w:eastAsia="en-US"/>
        </w:rPr>
        <w:t>2019</w:t>
      </w:r>
      <w:r>
        <w:rPr>
          <w:rFonts w:cs="Arial;Arial" w:ascii="Arial;Arial" w:hAnsi="Arial;Arial"/>
          <w:rtl w:val="true"/>
          <w:lang w:val="en-US" w:eastAsia="en-US"/>
        </w:rPr>
        <w:t xml:space="preserve">, </w:t>
      </w:r>
      <w:r>
        <w:rPr>
          <w:rFonts w:ascii="Arial;Arial" w:hAnsi="Arial;Arial" w:cs="Arial;Arial"/>
          <w:rtl w:val="true"/>
          <w:lang w:val="en-US" w:eastAsia="en-US"/>
        </w:rPr>
        <w:t>בהעדר הצדדים</w:t>
      </w:r>
      <w:r>
        <w:rPr>
          <w:rFonts w:cs="Arial;Arial" w:ascii="Arial;Arial" w:hAnsi="Arial;Arial"/>
          <w:rtl w:val="true"/>
          <w:lang w:val="en-US" w:eastAsia="en-US"/>
        </w:rPr>
        <w:t xml:space="preserve">. </w:t>
      </w:r>
      <w:bookmarkEnd w:id="10"/>
    </w:p>
    <w:p>
      <w:pPr>
        <w:pStyle w:val="Normal"/>
        <w:ind w:end="0"/>
        <w:jc w:val="start"/>
        <w:rPr>
          <w:rFonts w:ascii="Arial;Arial" w:hAnsi="Arial;Arial" w:cs="Arial;Arial"/>
          <w:lang w:val="en-US" w:eastAsia="en-US"/>
        </w:rPr>
      </w:pPr>
      <w:r>
        <w:rPr>
          <w:rFonts w:cs="Arial;Arial" w:ascii="Arial;Arial" w:hAnsi="Arial;Arial"/>
          <w:rtl w:val="true"/>
          <w:lang w:val="en-US" w:eastAsia="en-US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  <w:r>
        <w:rPr>
          <w:rFonts w:cs="David;Times New Roman" w:ascii="David;Times New Roman" w:hAnsi="David;Times New Roman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;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5"/>
      <w:footerReference w:type="default" r:id="rId6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alibri">
    <w:altName w:val="Times New Roman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;Times New Roman" w:hAnsi="FrankRuehl;Times New Roman" w:cs="FrankRuehl;Times New Roman"/>
      </w:rPr>
    </w:pPr>
    <w:r>
      <w:rPr>
        <w:rStyle w:val="PageNumber"/>
        <w:rFonts w:cs="FrankRuehl;Times New Roman" w:ascii="FrankRuehl;Times New Roman" w:hAnsi="FrankRuehl;Times New Roman"/>
        <w:rtl w:val="true"/>
      </w:rPr>
      <w:fldChar w:fldCharType="begin"/>
    </w:r>
    <w:r>
      <w:rPr>
        <w:rtl w:val="true"/>
        <w:rStyle w:val="PageNumber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rStyle w:val="PageNumber"/>
        <w:rFonts w:cs="FrankRuehl;Times New Roman" w:ascii="FrankRuehl;Times New Roman" w:hAnsi="FrankRuehl;Times New Roman"/>
      </w:rPr>
      <w:fldChar w:fldCharType="separate"/>
    </w:r>
    <w:r>
      <w:rPr>
        <w:rtl w:val="true"/>
        <w:rStyle w:val="PageNumber"/>
        <w:rFonts w:cs="FrankRuehl;Times New Roman" w:ascii="FrankRuehl;Times New Roman" w:hAnsi="FrankRuehl;Times New Roman"/>
      </w:rPr>
      <w:t>13</w:t>
    </w:r>
    <w:r>
      <w:rPr>
        <w:rtl w:val="true"/>
        <w:rStyle w:val="PageNumber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;Times New Roman" w:ascii="FrankRuehl;Times New Roman" w:hAnsi="FrankRuehl;Times New Roman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ש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) </w:t>
    </w:r>
    <w:r>
      <w:rPr>
        <w:rFonts w:cs="David;Times New Roman" w:ascii="David;Times New Roman" w:hAnsi="David;Times New Roman"/>
        <w:color w:val="000000"/>
        <w:sz w:val="22"/>
        <w:szCs w:val="22"/>
      </w:rPr>
      <w:t>25823-12-14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רואן בת מחמד סמחאן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David;Times New Roman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;Times New Roman" w:hAnsi="Times New Roman;Times New Roman" w:eastAsia="Times New Roman;Times New Roman" w:cs="David;Times New Roman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;Times New Roman" w:hAnsi="Times New Roman;Times New Roman" w:eastAsia="Times New Roman;Times New Roman" w:cs="David;Times New Roman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5015" TargetMode="External"/><Relationship Id="rId3" Type="http://schemas.openxmlformats.org/officeDocument/2006/relationships/hyperlink" Target="http://www.nevo.co.il/law/75015/52.b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114.a" TargetMode="External"/><Relationship Id="rId8" Type="http://schemas.openxmlformats.org/officeDocument/2006/relationships/hyperlink" Target="http://www.nevo.co.il/law/70301/143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f" TargetMode="External"/><Relationship Id="rId11" Type="http://schemas.openxmlformats.org/officeDocument/2006/relationships/hyperlink" Target="http://www.nevo.co.il/law/70301/186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305.1" TargetMode="External"/><Relationship Id="rId14" Type="http://schemas.openxmlformats.org/officeDocument/2006/relationships/hyperlink" Target="http://www.nevo.co.il/law/70301/334" TargetMode="External"/><Relationship Id="rId15" Type="http://schemas.openxmlformats.org/officeDocument/2006/relationships/hyperlink" Target="http://www.nevo.co.il/law/70301/335.a.1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3729" TargetMode="External"/><Relationship Id="rId18" Type="http://schemas.openxmlformats.org/officeDocument/2006/relationships/hyperlink" Target="http://www.nevo.co.il/law/73729/85.1.a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90721/12" TargetMode="External"/><Relationship Id="rId21" Type="http://schemas.openxmlformats.org/officeDocument/2006/relationships/hyperlink" Target="http://www.nevo.co.il/law/75015/52.b.1.a" TargetMode="External"/><Relationship Id="rId22" Type="http://schemas.openxmlformats.org/officeDocument/2006/relationships/hyperlink" Target="http://www.nevo.co.il/law/75015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5015/52.b.1.a" TargetMode="External"/><Relationship Id="rId26" Type="http://schemas.openxmlformats.org/officeDocument/2006/relationships/hyperlink" Target="http://www.nevo.co.il/law/75015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5015/52.b.1.a" TargetMode="External"/><Relationship Id="rId30" Type="http://schemas.openxmlformats.org/officeDocument/2006/relationships/hyperlink" Target="http://www.nevo.co.il/law/75015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05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34" TargetMode="External"/><Relationship Id="rId36" Type="http://schemas.openxmlformats.org/officeDocument/2006/relationships/hyperlink" Target="http://www.nevo.co.il/law/70301/335.a.1" TargetMode="External"/><Relationship Id="rId37" Type="http://schemas.openxmlformats.org/officeDocument/2006/relationships/hyperlink" Target="http://www.nevo.co.il/law/70301/144f" TargetMode="External"/><Relationship Id="rId38" Type="http://schemas.openxmlformats.org/officeDocument/2006/relationships/hyperlink" Target="http://www.nevo.co.il/law/70301/305.1" TargetMode="External"/><Relationship Id="rId39" Type="http://schemas.openxmlformats.org/officeDocument/2006/relationships/hyperlink" Target="http://www.nevo.co.il/law/70301/31" TargetMode="External"/><Relationship Id="rId40" Type="http://schemas.openxmlformats.org/officeDocument/2006/relationships/hyperlink" Target="http://www.nevo.co.il/law/70301/114.a" TargetMode="External"/><Relationship Id="rId41" Type="http://schemas.openxmlformats.org/officeDocument/2006/relationships/hyperlink" Target="http://www.nevo.co.il/law/73729/85.1.a" TargetMode="External"/><Relationship Id="rId42" Type="http://schemas.openxmlformats.org/officeDocument/2006/relationships/hyperlink" Target="http://www.nevo.co.il/law/73729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/143.b" TargetMode="External"/><Relationship Id="rId45" Type="http://schemas.openxmlformats.org/officeDocument/2006/relationships/hyperlink" Target="http://www.nevo.co.il/law/70301/499.a.1" TargetMode="External"/><Relationship Id="rId46" Type="http://schemas.openxmlformats.org/officeDocument/2006/relationships/hyperlink" Target="http://www.nevo.co.il/law/70301/186" TargetMode="External"/><Relationship Id="rId47" Type="http://schemas.openxmlformats.org/officeDocument/2006/relationships/hyperlink" Target="http://www.nevo.co.il/law/70301/144f" TargetMode="External"/><Relationship Id="rId48" Type="http://schemas.openxmlformats.org/officeDocument/2006/relationships/hyperlink" Target="http://www.nevo.co.il/law/70301/244" TargetMode="External"/><Relationship Id="rId49" Type="http://schemas.openxmlformats.org/officeDocument/2006/relationships/hyperlink" Target="http://www.nevo.co.il/law/90721/12" TargetMode="External"/><Relationship Id="rId50" Type="http://schemas.openxmlformats.org/officeDocument/2006/relationships/hyperlink" Target="http://www.nevo.co.il/law/90721" TargetMode="External"/><Relationship Id="rId51" Type="http://schemas.openxmlformats.org/officeDocument/2006/relationships/hyperlink" Target="http://www.nevo.co.il/case/17910501" TargetMode="External"/><Relationship Id="rId52" Type="http://schemas.openxmlformats.org/officeDocument/2006/relationships/hyperlink" Target="http://www.nevo.co.il/case/18177700" TargetMode="External"/><Relationship Id="rId53" Type="http://schemas.openxmlformats.org/officeDocument/2006/relationships/hyperlink" Target="http://www.nevo.co.il/case/20544039" TargetMode="External"/><Relationship Id="rId54" Type="http://schemas.openxmlformats.org/officeDocument/2006/relationships/hyperlink" Target="http://www.nevo.co.il/case/20457242" TargetMode="External"/><Relationship Id="rId55" Type="http://schemas.openxmlformats.org/officeDocument/2006/relationships/hyperlink" Target="http://www.nevo.co.il/case/21473210" TargetMode="External"/><Relationship Id="rId56" Type="http://schemas.openxmlformats.org/officeDocument/2006/relationships/hyperlink" Target="http://www.nevo.co.il/case/21657280" TargetMode="External"/><Relationship Id="rId57" Type="http://schemas.openxmlformats.org/officeDocument/2006/relationships/hyperlink" Target="http://www.nevo.co.il/case/20728180" TargetMode="External"/><Relationship Id="rId58" Type="http://schemas.openxmlformats.org/officeDocument/2006/relationships/hyperlink" Target="http://www.nevo.co.il/case/5772368" TargetMode="External"/><Relationship Id="rId59" Type="http://schemas.openxmlformats.org/officeDocument/2006/relationships/hyperlink" Target="http://www.nevo.co.il/case/6169070" TargetMode="External"/><Relationship Id="rId60" Type="http://schemas.openxmlformats.org/officeDocument/2006/relationships/hyperlink" Target="http://www.nevo.co.il/case/6246310" TargetMode="External"/><Relationship Id="rId61" Type="http://schemas.openxmlformats.org/officeDocument/2006/relationships/hyperlink" Target="http://www.nevo.co.il/case/20241131" TargetMode="External"/><Relationship Id="rId62" Type="http://schemas.openxmlformats.org/officeDocument/2006/relationships/hyperlink" Target="http://www.nevo.co.il/case/18094758" TargetMode="External"/><Relationship Id="rId63" Type="http://schemas.openxmlformats.org/officeDocument/2006/relationships/hyperlink" Target="http://www.nevo.co.il/law/75015" TargetMode="External"/><Relationship Id="rId64" Type="http://schemas.openxmlformats.org/officeDocument/2006/relationships/hyperlink" Target="http://www.nevo.co.il/advertisements/nevo-100.doc" TargetMode="External"/><Relationship Id="rId65" Type="http://schemas.openxmlformats.org/officeDocument/2006/relationships/header" Target="header1.xml"/><Relationship Id="rId66" Type="http://schemas.openxmlformats.org/officeDocument/2006/relationships/footer" Target="foot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2019-10-03T13:08:00Z</dcterms:created>
  <dc:creator> </dc:creator>
  <dc:description/>
  <cp:keywords/>
  <dc:language>en-IL</dc:language>
  <cp:lastModifiedBy>orly</cp:lastModifiedBy>
  <dcterms:modified xsi:type="dcterms:W3CDTF">2019-11-13T12:37:00Z</dcterms:modified>
  <cp:revision>6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רואן בת מחמד סמחאן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17910501;18177700;20544039;20457242;21473210;21657280;20728180;5772368;6169070;6246310;20241131;18094758</vt:lpwstr>
  </property>
  <property fmtid="{D5CDD505-2E9C-101B-9397-08002B2CF9AE}" pid="9" name="CITY">
    <vt:lpwstr>ב"ש</vt:lpwstr>
  </property>
  <property fmtid="{D5CDD505-2E9C-101B-9397-08002B2CF9AE}" pid="10" name="DATE">
    <vt:lpwstr>20190925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75015/052.b.1.a</vt:lpwstr>
  </property>
  <property fmtid="{D5CDD505-2E9C-101B-9397-08002B2CF9AE}" pid="15" name="LAWLISTTMP2">
    <vt:lpwstr>70301/025;305.1:2;334;335.a.1;144f:2;031;114.a;144.b;143.b;499.a.1;186;244</vt:lpwstr>
  </property>
  <property fmtid="{D5CDD505-2E9C-101B-9397-08002B2CF9AE}" pid="16" name="LAWLISTTMP3">
    <vt:lpwstr>73729/085.1.a</vt:lpwstr>
  </property>
  <property fmtid="{D5CDD505-2E9C-101B-9397-08002B2CF9AE}" pid="17" name="LAWLISTTMP4">
    <vt:lpwstr>90721/012</vt:lpwstr>
  </property>
  <property fmtid="{D5CDD505-2E9C-101B-9397-08002B2CF9AE}" pid="18" name="LAWYER">
    <vt:lpwstr>רסלאן מחאג'נה;נעה שוקר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שירי</vt:lpwstr>
  </property>
  <property fmtid="{D5CDD505-2E9C-101B-9397-08002B2CF9AE}" pid="25" name="NEWPARTA">
    <vt:lpwstr>25823</vt:lpwstr>
  </property>
  <property fmtid="{D5CDD505-2E9C-101B-9397-08002B2CF9AE}" pid="26" name="NEWPARTB">
    <vt:lpwstr>12</vt:lpwstr>
  </property>
  <property fmtid="{D5CDD505-2E9C-101B-9397-08002B2CF9AE}" pid="27" name="NEWPARTC">
    <vt:lpwstr>14</vt:lpwstr>
  </property>
  <property fmtid="{D5CDD505-2E9C-101B-9397-08002B2CF9AE}" pid="28" name="NEWPROC">
    <vt:lpwstr>תפ</vt:lpwstr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</vt:lpwstr>
  </property>
  <property fmtid="{D5CDD505-2E9C-101B-9397-08002B2CF9AE}" pid="51" name="NOSE31">
    <vt:lpwstr>מדיניות ענישה: עבירות ביטחון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8985</vt:lpwstr>
  </property>
  <property fmtid="{D5CDD505-2E9C-101B-9397-08002B2CF9AE}" pid="62" name="PADIDATE">
    <vt:lpwstr>20191113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3</vt:lpwstr>
  </property>
  <property fmtid="{D5CDD505-2E9C-101B-9397-08002B2CF9AE}" pid="71" name="TYPE_ABS_DATE">
    <vt:lpwstr>380120190925</vt:lpwstr>
  </property>
  <property fmtid="{D5CDD505-2E9C-101B-9397-08002B2CF9AE}" pid="72" name="TYPE_N_DATE">
    <vt:lpwstr>38020190925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