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66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ז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פ </w:t>
            </w:r>
            <w:r>
              <w:rPr>
                <w:rFonts w:cs="Arial" w:ascii="Arial" w:hAnsi="Arial"/>
              </w:rPr>
              <w:t>25842-03-12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מדינת ישראל נ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סבן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אחר</w:t>
            </w:r>
            <w:r>
              <w:rPr>
                <w:rFonts w:cs="Arial" w:ascii="Arial" w:hAnsi="Arial"/>
                <w:rtl w:val="true"/>
              </w:rPr>
              <w:t>/</w:t>
            </w:r>
            <w:r>
              <w:rPr>
                <w:rFonts w:ascii="Arial" w:hAnsi="Arial" w:cs="Arial"/>
                <w:rtl w:val="true"/>
              </w:rPr>
              <w:t>נוסף</w:t>
            </w:r>
            <w:r>
              <w:rPr>
                <w:rFonts w:cs="Arial" w:ascii="Arial" w:hAnsi="Arial"/>
                <w:rtl w:val="true"/>
              </w:rPr>
              <w:t>)</w:t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פברואר </w:t>
            </w:r>
            <w:r>
              <w:rPr>
                <w:rFonts w:cs="Arial" w:ascii="Arial" w:hAnsi="Arial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sz w:val="20"/>
          <w:szCs w:val="20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בפני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אורי רניצקי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לירן סבן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יוסי זילברברג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start="567" w:end="-142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שעניינה 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</w:rPr>
      </w:pPr>
      <w:bookmarkStart w:id="12" w:name="ABSTRACT_END"/>
      <w:bookmarkEnd w:id="12"/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מילא הנאשם בקבוק זכוכית ריק בבנזין וסגר אותו באמצעות נייר </w:t>
      </w:r>
      <w:r>
        <w:rPr>
          <w:rFonts w:ascii="Arial" w:hAnsi="Arial" w:cs="Arial"/>
          <w:rtl w:val="true"/>
        </w:rPr>
        <w:t>ועשה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בעצמו ובין באמצעות אחר מטעמו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בקבוק התבערה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 w:before="0" w:after="240"/>
        <w:ind w:hanging="567" w:start="567" w:end="-142"/>
        <w:jc w:val="both"/>
        <w:rPr>
          <w:rStyle w:val="aa-h"/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2.3.12</w:t>
      </w:r>
      <w:r>
        <w:rPr>
          <w:rFonts w:cs="Arial" w:ascii="Arial" w:hAnsi="Arial"/>
          <w:rtl w:val="true"/>
        </w:rPr>
        <w:t xml:space="preserve"> </w:t>
      </w:r>
      <w:r>
        <w:rPr>
          <w:rStyle w:val="aa-h"/>
          <w:rFonts w:ascii="Arial" w:hAnsi="Arial" w:cs="Arial"/>
          <w:rtl w:val="true"/>
        </w:rPr>
        <w:t>טשטש הנאשם</w:t>
      </w:r>
      <w:r>
        <w:rPr>
          <w:rStyle w:val="aa-h"/>
          <w:rFonts w:ascii="Arial" w:hAnsi="Arial" w:cs="Arial"/>
          <w:rtl w:val="true"/>
        </w:rPr>
        <w:t xml:space="preserve"> </w:t>
      </w:r>
      <w:r>
        <w:rPr>
          <w:rStyle w:val="aa-h"/>
          <w:rFonts w:ascii="Arial" w:hAnsi="Arial" w:cs="Arial"/>
          <w:rtl w:val="true"/>
        </w:rPr>
        <w:t xml:space="preserve">את הספרה </w:t>
      </w:r>
      <w:r>
        <w:rPr>
          <w:rStyle w:val="aa-h"/>
          <w:rFonts w:cs="Arial" w:ascii="Arial" w:hAnsi="Arial"/>
          <w:rtl w:val="true"/>
        </w:rPr>
        <w:t>"</w:t>
      </w:r>
      <w:r>
        <w:rPr>
          <w:rStyle w:val="aa-h"/>
          <w:rFonts w:cs="Arial" w:ascii="Arial" w:hAnsi="Arial"/>
        </w:rPr>
        <w:t>3</w:t>
      </w:r>
      <w:r>
        <w:rPr>
          <w:rStyle w:val="aa-h"/>
          <w:rFonts w:cs="Arial" w:ascii="Arial" w:hAnsi="Arial"/>
          <w:rtl w:val="true"/>
        </w:rPr>
        <w:t xml:space="preserve">" </w:t>
      </w:r>
      <w:r>
        <w:rPr>
          <w:rStyle w:val="aa-h"/>
          <w:rFonts w:ascii="Arial" w:hAnsi="Arial" w:cs="Arial"/>
          <w:rtl w:val="true"/>
        </w:rPr>
        <w:t>בלוחית זיהוי מכונית מסוג מאזדה מ</w:t>
      </w:r>
      <w:r>
        <w:rPr>
          <w:rStyle w:val="aa-h"/>
          <w:rFonts w:cs="Arial" w:ascii="Arial" w:hAnsi="Arial"/>
          <w:rtl w:val="true"/>
        </w:rPr>
        <w:t>.</w:t>
      </w:r>
      <w:r>
        <w:rPr>
          <w:rStyle w:val="aa-h"/>
          <w:rFonts w:ascii="Arial" w:hAnsi="Arial" w:cs="Arial"/>
          <w:rtl w:val="true"/>
        </w:rPr>
        <w:t xml:space="preserve">ר </w:t>
      </w:r>
      <w:r>
        <w:rPr>
          <w:rStyle w:val="aa-h"/>
          <w:rFonts w:cs="Arial" w:ascii="Arial" w:hAnsi="Arial"/>
        </w:rPr>
        <w:t>4253469</w:t>
      </w:r>
      <w:r>
        <w:rPr>
          <w:rStyle w:val="aa-h"/>
          <w:rFonts w:cs="Arial" w:ascii="Arial" w:hAnsi="Arial"/>
          <w:rtl w:val="true"/>
        </w:rPr>
        <w:t xml:space="preserve"> (</w:t>
      </w:r>
      <w:r>
        <w:rPr>
          <w:rStyle w:val="aa-h"/>
          <w:rFonts w:ascii="Arial" w:hAnsi="Arial" w:cs="Arial"/>
          <w:rtl w:val="true"/>
        </w:rPr>
        <w:t>להלן</w:t>
      </w:r>
      <w:r>
        <w:rPr>
          <w:rStyle w:val="aa-h"/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המאזדה</w:t>
      </w:r>
      <w:r>
        <w:rPr>
          <w:rStyle w:val="aa-h"/>
          <w:rFonts w:cs="Arial" w:ascii="Arial" w:hAnsi="Arial"/>
          <w:rtl w:val="true"/>
        </w:rPr>
        <w:t xml:space="preserve">") </w:t>
      </w:r>
      <w:r>
        <w:rPr>
          <w:rStyle w:val="aa-h"/>
          <w:rFonts w:ascii="Arial" w:hAnsi="Arial" w:cs="Arial"/>
          <w:rtl w:val="true"/>
        </w:rPr>
        <w:t>שבבעלותו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 xml:space="preserve">באמצעות </w:t>
      </w:r>
      <w:r>
        <w:rPr>
          <w:rStyle w:val="aa-h"/>
          <w:rFonts w:ascii="Arial" w:hAnsi="Arial" w:cs="Arial"/>
          <w:rtl w:val="true"/>
        </w:rPr>
        <w:t xml:space="preserve">הדבקת </w:t>
      </w:r>
      <w:r>
        <w:rPr>
          <w:rStyle w:val="aa-h"/>
          <w:rFonts w:ascii="Arial" w:hAnsi="Arial" w:cs="Arial"/>
          <w:rtl w:val="true"/>
        </w:rPr>
        <w:t>נייר</w:t>
      </w:r>
      <w:r>
        <w:rPr>
          <w:rStyle w:val="aa-h"/>
          <w:rFonts w:ascii="Arial" w:hAnsi="Arial" w:cs="Arial"/>
          <w:rtl w:val="true"/>
        </w:rPr>
        <w:t xml:space="preserve"> ועשה כן 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>בין בעצמו ובין על ידי אחר</w:t>
      </w:r>
      <w:r>
        <w:rPr>
          <w:rStyle w:val="aa-h"/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 w:before="0" w:after="240"/>
        <w:ind w:hanging="567" w:start="567" w:end="-142"/>
        <w:jc w:val="both"/>
        <w:rPr>
          <w:rStyle w:val="aa-h"/>
          <w:rFonts w:ascii="Arial" w:hAnsi="Arial" w:cs="Arial"/>
        </w:rPr>
      </w:pPr>
      <w:r>
        <w:rPr>
          <w:rStyle w:val="aa-h"/>
          <w:rFonts w:ascii="Arial" w:hAnsi="Arial" w:cs="Arial"/>
          <w:rtl w:val="true"/>
        </w:rPr>
        <w:t xml:space="preserve">בתאריך </w:t>
      </w:r>
      <w:r>
        <w:rPr>
          <w:rStyle w:val="aa-h"/>
          <w:rFonts w:cs="Arial" w:ascii="Arial" w:hAnsi="Arial"/>
        </w:rPr>
        <w:t>2.3.12</w:t>
      </w:r>
      <w:r>
        <w:rPr>
          <w:rStyle w:val="aa-h"/>
          <w:rFonts w:cs="Arial" w:ascii="Arial" w:hAnsi="Arial"/>
          <w:rtl w:val="true"/>
        </w:rPr>
        <w:t xml:space="preserve"> </w:t>
      </w:r>
      <w:r>
        <w:rPr>
          <w:rStyle w:val="aa-h"/>
          <w:rFonts w:ascii="Arial" w:hAnsi="Arial" w:cs="Arial"/>
          <w:rtl w:val="true"/>
        </w:rPr>
        <w:t xml:space="preserve">בשעה </w:t>
      </w:r>
      <w:r>
        <w:rPr>
          <w:rStyle w:val="aa-h"/>
          <w:rFonts w:cs="Arial" w:ascii="Arial" w:hAnsi="Arial"/>
        </w:rPr>
        <w:t>4:37</w:t>
      </w:r>
      <w:r>
        <w:rPr>
          <w:rStyle w:val="aa-h"/>
          <w:rFonts w:cs="Arial" w:ascii="Arial" w:hAnsi="Arial"/>
          <w:rtl w:val="true"/>
        </w:rPr>
        <w:t xml:space="preserve"> </w:t>
      </w:r>
      <w:r>
        <w:rPr>
          <w:rStyle w:val="aa-h"/>
          <w:rFonts w:ascii="Arial" w:hAnsi="Arial" w:cs="Arial"/>
          <w:rtl w:val="true"/>
        </w:rPr>
        <w:t>לערך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>הגיעו הנאשם ואחר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>שזהותו אינה ידועה</w:t>
      </w:r>
      <w:r>
        <w:rPr>
          <w:rStyle w:val="aa-h"/>
          <w:rFonts w:cs="Arial" w:ascii="Arial" w:hAnsi="Arial"/>
          <w:rtl w:val="true"/>
        </w:rPr>
        <w:t>,</w:t>
      </w:r>
      <w:r>
        <w:rPr>
          <w:rStyle w:val="aa-h"/>
          <w:rFonts w:cs="Arial" w:ascii="Arial" w:hAnsi="Arial"/>
          <w:rtl w:val="true"/>
        </w:rPr>
        <w:t xml:space="preserve"> </w:t>
      </w:r>
      <w:r>
        <w:rPr>
          <w:rStyle w:val="aa-h"/>
          <w:rFonts w:ascii="Arial" w:hAnsi="Arial" w:cs="Arial"/>
          <w:rtl w:val="true"/>
        </w:rPr>
        <w:t>במאזדה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>מצוידים בבקבוק התבערה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 xml:space="preserve">סמוך לביתו של מוחמד אזברגה </w:t>
      </w:r>
      <w:r>
        <w:rPr>
          <w:rStyle w:val="aa-h"/>
          <w:rFonts w:cs="Arial" w:ascii="Arial" w:hAnsi="Arial"/>
          <w:rtl w:val="true"/>
        </w:rPr>
        <w:t>(</w:t>
      </w:r>
      <w:r>
        <w:rPr>
          <w:rStyle w:val="aa-h"/>
          <w:rFonts w:ascii="Arial" w:hAnsi="Arial" w:cs="Arial"/>
          <w:rtl w:val="true"/>
        </w:rPr>
        <w:t>להלן</w:t>
      </w:r>
      <w:r>
        <w:rPr>
          <w:rStyle w:val="aa-h"/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המתלונן</w:t>
      </w:r>
      <w:r>
        <w:rPr>
          <w:rStyle w:val="aa-h"/>
          <w:rFonts w:cs="Arial" w:ascii="Arial" w:hAnsi="Arial"/>
          <w:rtl w:val="true"/>
        </w:rPr>
        <w:t xml:space="preserve">"), </w:t>
      </w:r>
      <w:r>
        <w:rPr>
          <w:rStyle w:val="aa-h"/>
          <w:rFonts w:ascii="Arial" w:hAnsi="Arial" w:cs="Arial"/>
          <w:rtl w:val="true"/>
        </w:rPr>
        <w:t xml:space="preserve">שם חנתה מכוניתו </w:t>
      </w:r>
      <w:r>
        <w:rPr>
          <w:rStyle w:val="aa-h"/>
          <w:rFonts w:ascii="Arial" w:hAnsi="Arial" w:cs="Arial"/>
          <w:rtl w:val="true"/>
        </w:rPr>
        <w:t xml:space="preserve">של המתלונן </w:t>
      </w:r>
      <w:r>
        <w:rPr>
          <w:rStyle w:val="aa-h"/>
          <w:rFonts w:cs="Arial" w:ascii="Arial" w:hAnsi="Arial"/>
          <w:rtl w:val="true"/>
        </w:rPr>
        <w:t>(</w:t>
      </w:r>
      <w:r>
        <w:rPr>
          <w:rStyle w:val="aa-h"/>
          <w:rFonts w:ascii="Arial" w:hAnsi="Arial" w:cs="Arial"/>
          <w:rtl w:val="true"/>
        </w:rPr>
        <w:t>להלן</w:t>
      </w:r>
      <w:r>
        <w:rPr>
          <w:rStyle w:val="aa-h"/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הב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וו</w:t>
      </w:r>
      <w:r>
        <w:rPr>
          <w:rStyle w:val="aa-h"/>
          <w:rFonts w:cs="Arial" w:ascii="Arial" w:hAnsi="Arial"/>
          <w:rtl w:val="true"/>
        </w:rPr>
        <w:t xml:space="preserve">").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</w:rPr>
      </w:pPr>
      <w:r>
        <w:rPr>
          <w:rStyle w:val="aa-h"/>
          <w:rFonts w:ascii="Arial" w:hAnsi="Arial" w:cs="Arial"/>
          <w:rtl w:val="true"/>
        </w:rPr>
        <w:t>הנאשם או האחר יצאו מהמאזדה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את בקבוק התבערה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שברו את חלון מכונית הב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וו והשליכו לתוכו את בקבוק התבערה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כתוצאה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 נזק לספסל האחורי של מכונית הב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וו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567" w:end="-142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על הנאשם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שרות המבחן שהתקבל אודות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מדובר בצעיר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ר </w:t>
      </w:r>
      <w:r>
        <w:rPr>
          <w:rFonts w:ascii="Arial" w:hAnsi="Arial" w:cs="Arial"/>
          <w:rtl w:val="true"/>
        </w:rPr>
        <w:t>מונה שלושה אחים וזוג הורים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נהג משאית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אזרחית עובדת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הסתבכותו של הנאשם בעבירה אינה תואמת את התנהלות המשפחה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567" w:start="567" w:end="-142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בתום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לימוד הפסיק הנאשם את לימודיו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בשל בעיות משמעת בצבא שירת שנתיים</w:t>
      </w:r>
      <w:r>
        <w:rPr>
          <w:rFonts w:ascii="Arial" w:hAnsi="Arial" w:cs="Arial"/>
          <w:rtl w:val="true"/>
        </w:rPr>
        <w:t xml:space="preserve"> בלבד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</w:t>
      </w:r>
      <w:r>
        <w:rPr>
          <w:rFonts w:ascii="Arial" w:hAnsi="Arial" w:cs="Arial"/>
          <w:rtl w:val="true"/>
        </w:rPr>
        <w:t>וחרר בשל חוסר התאמה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שחרורו יצא הנאשם לחו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לתקופה ממושכת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בשובו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להתאקלם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עבירות של החזקת סם לצריכה עצמית והפרעה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נרשם לחובתו רישום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לאורך השנים עבד הנאשם בעבודות מזדמנות מבלי שהצליח לשמור על יציבות תעסוקתית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בשיווק בגדים בשווקים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שואף ל</w:t>
      </w:r>
      <w:r>
        <w:rPr>
          <w:rFonts w:ascii="Arial" w:hAnsi="Arial" w:cs="Arial"/>
          <w:rtl w:val="true"/>
        </w:rPr>
        <w:t>דבריו ל</w:t>
      </w:r>
      <w:r>
        <w:rPr>
          <w:rFonts w:ascii="Arial" w:hAnsi="Arial" w:cs="Arial"/>
          <w:rtl w:val="true"/>
        </w:rPr>
        <w:t>השתלב בעבודה מסודרת וקבועה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hanging="567" w:start="567" w:end="-142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טשטש הנאשם תחיל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את אחריותו לביצועה </w:t>
      </w:r>
      <w:r>
        <w:rPr>
          <w:rFonts w:ascii="Arial" w:hAnsi="Arial" w:cs="Arial"/>
          <w:rtl w:val="true"/>
        </w:rPr>
        <w:t>בפני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בהם </w:t>
      </w:r>
      <w:r>
        <w:rPr>
          <w:rFonts w:ascii="Arial" w:hAnsi="Arial" w:cs="Arial"/>
          <w:rtl w:val="true"/>
        </w:rPr>
        <w:t xml:space="preserve">היה </w:t>
      </w:r>
      <w:r>
        <w:rPr>
          <w:rFonts w:ascii="Arial" w:hAnsi="Arial" w:cs="Arial"/>
          <w:rtl w:val="true"/>
        </w:rPr>
        <w:t>שרוי במעצר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במהלכם השתלב בטיפול קבוצתי –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ודה הנאשם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שלטענתו נגרר אחר שותפו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שהיה בגילופין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רצון לריגוש וללא מודעות לחומרת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מנחי הקבוצה </w:t>
      </w:r>
      <w:r>
        <w:rPr>
          <w:rFonts w:ascii="Arial" w:hAnsi="Arial" w:cs="Arial"/>
          <w:rtl w:val="true"/>
        </w:rPr>
        <w:t xml:space="preserve">הטיפולית </w:t>
      </w:r>
      <w:r>
        <w:rPr>
          <w:rFonts w:ascii="Arial" w:hAnsi="Arial" w:cs="Arial"/>
          <w:rtl w:val="true"/>
        </w:rPr>
        <w:t xml:space="preserve">התרשמו כי אין מדובר באדם בעל דפוסים אלימים ולהערכתם העבירה </w:t>
      </w:r>
      <w:r>
        <w:rPr>
          <w:rFonts w:ascii="Arial" w:hAnsi="Arial" w:cs="Arial"/>
          <w:rtl w:val="true"/>
        </w:rPr>
        <w:t>נושא כתב האישום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חריגה להתנהלותו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הביע חרטה על מעשיו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שירות המבחן הער</w:t>
      </w:r>
      <w:r>
        <w:rPr>
          <w:rFonts w:ascii="Arial" w:hAnsi="Arial" w:cs="Arial"/>
          <w:rtl w:val="true"/>
        </w:rPr>
        <w:t>יך</w:t>
      </w:r>
      <w:r>
        <w:rPr>
          <w:rFonts w:ascii="Arial" w:hAnsi="Arial" w:cs="Arial"/>
          <w:rtl w:val="true"/>
        </w:rPr>
        <w:t xml:space="preserve"> כי הפיק את לקחו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567" w:end="-142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מנאשם בעל אישיות חלשה וילדותית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שהרקע למעשה לא הוברר עד תום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</w:t>
      </w:r>
      <w:r>
        <w:rPr>
          <w:rFonts w:ascii="Arial" w:hAnsi="Arial" w:cs="Arial"/>
          <w:rtl w:val="true"/>
        </w:rPr>
        <w:t>סבור ש</w:t>
      </w:r>
      <w:r>
        <w:rPr>
          <w:rFonts w:ascii="Arial" w:hAnsi="Arial" w:cs="Arial"/>
          <w:rtl w:val="true"/>
        </w:rPr>
        <w:t>ההליך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המעצר </w:t>
      </w:r>
      <w:r>
        <w:rPr>
          <w:rFonts w:ascii="Arial" w:hAnsi="Arial" w:cs="Arial"/>
          <w:rtl w:val="true"/>
        </w:rPr>
        <w:t>לרבות מעצר הבית הממושך והטיפול הקבוצתי העמידו את הנאשם על חומרת מעשהו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שרות המבחן סב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מאסר בפועל עלול להוביל להתדרדרות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אישיותו הילדותית והחלשה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שרות המבחן להטיל על הנאשם עונש מאסר שירוצה בעבודות שירות ופיצוי כספי למתלונן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ind w:hanging="567" w:start="567" w:end="-142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אורי רניצקי</w:t>
      </w:r>
      <w:r>
        <w:rPr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עתר להשית על הנאשם עונש מאסר בפועל בן שנה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מאסר מותנה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קנס ופיצוי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כן עתר לחלט את מכונית המאזדה ששימשה לביצוע העבירה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התובע עמד על חומרת המעשה ועל הפוטנציאל ההרסני הגלום בו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מעבר לנזק שנגרם בפועל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שליחת אש למכונית הב</w:t>
      </w:r>
      <w:r>
        <w:rPr>
          <w:rStyle w:val="LineNumber"/>
          <w:rFonts w:cs="Arial" w:ascii="Arial" w:hAnsi="Arial"/>
          <w:rtl w:val="true"/>
        </w:rPr>
        <w:t>.</w:t>
      </w:r>
      <w:r>
        <w:rPr>
          <w:rStyle w:val="LineNumber"/>
          <w:rFonts w:ascii="Arial" w:hAnsi="Arial" w:cs="Arial"/>
          <w:rtl w:val="true"/>
        </w:rPr>
        <w:t>מ</w:t>
      </w:r>
      <w:r>
        <w:rPr>
          <w:rStyle w:val="LineNumber"/>
          <w:rFonts w:cs="Arial" w:ascii="Arial" w:hAnsi="Arial"/>
          <w:rtl w:val="true"/>
        </w:rPr>
        <w:t>.</w:t>
      </w:r>
      <w:r>
        <w:rPr>
          <w:rStyle w:val="LineNumber"/>
          <w:rFonts w:ascii="Arial" w:hAnsi="Arial" w:cs="Arial"/>
          <w:rtl w:val="true"/>
        </w:rPr>
        <w:t>וו היתה יכולה לגרום להתלקחות המכונית ולנזקים רבים נוספים בזירת העבירה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המצויה בטבורה של העיר לוד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התובע הטעים את התכנון שקדם למעשה ואת התחכום שבו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בהצטיידות בבקבוק תבערה המוחזק ככלי משחית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חומרה יתרה ייחס לדרך בה ביקש הנאשם לטשטש את עקבותיו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באמצעות הסתרת חלק ממספר הרישוי של מכוניתו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התובע הטעים את התייחסות</w:t>
      </w:r>
      <w:r>
        <w:rPr>
          <w:rStyle w:val="LineNumber"/>
          <w:rFonts w:ascii="Arial" w:hAnsi="Arial" w:cs="Arial"/>
          <w:rtl w:val="true"/>
        </w:rPr>
        <w:t>ו הממזערת של</w:t>
      </w:r>
      <w:r>
        <w:rPr>
          <w:rStyle w:val="LineNumber"/>
          <w:rFonts w:ascii="Arial" w:hAnsi="Arial" w:cs="Arial"/>
          <w:rtl w:val="true"/>
        </w:rPr>
        <w:t xml:space="preserve">  הנאשם לביצוע העבירה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 xml:space="preserve">כאשר השליך </w:t>
      </w:r>
      <w:r>
        <w:rPr>
          <w:rStyle w:val="LineNumber"/>
          <w:rFonts w:ascii="Arial" w:hAnsi="Arial" w:cs="Arial"/>
          <w:rtl w:val="true"/>
        </w:rPr>
        <w:t xml:space="preserve">את האחריות לביצועה </w:t>
      </w:r>
      <w:r>
        <w:rPr>
          <w:rStyle w:val="LineNumber"/>
          <w:rFonts w:ascii="Arial" w:hAnsi="Arial" w:cs="Arial"/>
          <w:rtl w:val="true"/>
        </w:rPr>
        <w:t>על שותפו לעבירה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הגם שבפועל לא עשה מאומה למניעתה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כן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ציין כי הנאשם נמנע מלחשוף את זהות שותפו לעבירה</w:t>
      </w:r>
      <w:r>
        <w:rPr>
          <w:rStyle w:val="LineNumber"/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התובע טען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כי אישיותו החלשה של הנאשם מגבירה את הסכנה הנשקפת ממנו להישנות מעשים פליליים בעתיד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לפיכך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חרף גילו הצעיר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עברו הנקי ותיקון כתב האישום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עתר התובע להשית עליו שנת מאסר בפועל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 xml:space="preserve">אשר יהא בה להציב </w:t>
      </w:r>
      <w:r>
        <w:rPr>
          <w:rStyle w:val="LineNumber"/>
          <w:rFonts w:ascii="Arial" w:hAnsi="Arial" w:cs="Arial"/>
          <w:rtl w:val="true"/>
        </w:rPr>
        <w:t>בפניו</w:t>
      </w:r>
      <w:r>
        <w:rPr>
          <w:rStyle w:val="LineNumber"/>
          <w:rFonts w:ascii="Arial" w:hAnsi="Arial" w:cs="Arial"/>
          <w:rtl w:val="true"/>
        </w:rPr>
        <w:t xml:space="preserve"> גבולות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לשיטתו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הטלת מאסר שירוצה בעבודות שירות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יהווה מסר מקל ומטעה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התובע הפנה לפסיקה התומכת בעתירתו לעונש</w:t>
      </w:r>
      <w:r>
        <w:rPr>
          <w:rStyle w:val="LineNumber"/>
          <w:rFonts w:cs="Arial" w:ascii="Arial" w:hAnsi="Arial"/>
          <w:rtl w:val="true"/>
        </w:rPr>
        <w:t>.</w:t>
      </w:r>
    </w:p>
    <w:p>
      <w:pPr>
        <w:pStyle w:val="Normal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הסנגור מנגד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עתר להסתפק בעונש מאסר שירוצה בעבודות שירות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כהמלצת שירות המבחן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הוא הדגיש את השינוי המשמעותי שהוכנס לכתב האישום המקורי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נוכח מחיקתן של מרבית העבירות החמורות שיוחסו לנאשם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ש</w:t>
      </w:r>
      <w:r>
        <w:rPr>
          <w:rStyle w:val="LineNumber"/>
          <w:rFonts w:ascii="Arial" w:hAnsi="Arial" w:cs="Arial"/>
          <w:rtl w:val="true"/>
        </w:rPr>
        <w:t>עניינן</w:t>
      </w:r>
      <w:r>
        <w:rPr>
          <w:rStyle w:val="LineNumber"/>
          <w:rFonts w:ascii="Arial" w:hAnsi="Arial" w:cs="Arial"/>
          <w:rtl w:val="true"/>
        </w:rPr>
        <w:t xml:space="preserve"> הצתה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ייצור נשק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נשיאת נשק ושינוי זהות של רכב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הסנגור הטעים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כי לא בכדי בוצע התיקון המשמעותי בכתב האישום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אלא בשל קושי ראייתי ניכר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כן הדגיש את הודיית הנאשם והחיסכון בזמן שיפוטי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את גילו הצעיר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עברו שאינו מכביד ואורח החיים הנורמטיבי שקיים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הוא ובני משפחתו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כן ציין את התהליך הטיפולי הממושך שעבר הנאשם והתקופה הממושכת בה שהה בתנאים מגבילים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לרבות מעצר מאחורי סורג ובריח למשך כחודשיים</w:t>
      </w:r>
      <w:r>
        <w:rPr>
          <w:rStyle w:val="LineNumber"/>
          <w:rFonts w:cs="Arial" w:ascii="Arial" w:hAnsi="Arial"/>
          <w:rtl w:val="true"/>
        </w:rPr>
        <w:t xml:space="preserve">. </w:t>
      </w:r>
    </w:p>
    <w:p>
      <w:pPr>
        <w:pStyle w:val="ListParagraph"/>
        <w:ind w:hanging="567" w:start="567" w:end="-142"/>
        <w:rPr>
          <w:rStyle w:val="LineNumber"/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בנסיבות אלו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טען הסנגור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יש להסתפק בעונש מאסר שירוצה בעבודות שירות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אשר יהא בו משום מסר חינוכי ועם זאת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לא יחשוף את הנאשם לחיי הפשע בבית הסוהר</w:t>
      </w:r>
      <w:r>
        <w:rPr>
          <w:rStyle w:val="LineNumber"/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 xml:space="preserve">באשר לחילוט </w:t>
      </w:r>
      <w:r>
        <w:rPr>
          <w:rStyle w:val="LineNumber"/>
          <w:rFonts w:ascii="Arial" w:hAnsi="Arial" w:cs="Arial"/>
          <w:rtl w:val="true"/>
        </w:rPr>
        <w:t xml:space="preserve">מכונית </w:t>
      </w:r>
      <w:r>
        <w:rPr>
          <w:rStyle w:val="LineNumber"/>
          <w:rFonts w:ascii="Arial" w:hAnsi="Arial" w:cs="Arial"/>
          <w:rtl w:val="true"/>
        </w:rPr>
        <w:t>המאזדה – טען הסנגור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כי המכונית עברה תאונת דרכים ואיבדה את ערכה באורח מוחלט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בהתייחסו לנזק שנגרם למכונית הב</w:t>
      </w:r>
      <w:r>
        <w:rPr>
          <w:rStyle w:val="LineNumber"/>
          <w:rFonts w:cs="Arial" w:ascii="Arial" w:hAnsi="Arial"/>
          <w:rtl w:val="true"/>
        </w:rPr>
        <w:t>.</w:t>
      </w:r>
      <w:r>
        <w:rPr>
          <w:rStyle w:val="LineNumber"/>
          <w:rFonts w:ascii="Arial" w:hAnsi="Arial" w:cs="Arial"/>
          <w:rtl w:val="true"/>
        </w:rPr>
        <w:t>מ</w:t>
      </w:r>
      <w:r>
        <w:rPr>
          <w:rStyle w:val="LineNumber"/>
          <w:rFonts w:cs="Arial" w:ascii="Arial" w:hAnsi="Arial"/>
          <w:rtl w:val="true"/>
        </w:rPr>
        <w:t>.</w:t>
      </w:r>
      <w:r>
        <w:rPr>
          <w:rStyle w:val="LineNumber"/>
          <w:rFonts w:ascii="Arial" w:hAnsi="Arial" w:cs="Arial"/>
          <w:rtl w:val="true"/>
        </w:rPr>
        <w:t>וו טען הסנגור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כי אין מדובר בנזק כבד ומכל מקום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גובהו לא הוכח</w:t>
      </w:r>
      <w:r>
        <w:rPr>
          <w:rStyle w:val="LineNumber"/>
          <w:rFonts w:cs="Arial" w:ascii="Arial" w:hAnsi="Arial"/>
          <w:rtl w:val="true"/>
        </w:rPr>
        <w:t>.</w:t>
      </w:r>
    </w:p>
    <w:p>
      <w:pPr>
        <w:pStyle w:val="ListParagraph"/>
        <w:ind w:hanging="567" w:start="567" w:end="-142"/>
        <w:rPr>
          <w:rStyle w:val="LineNumber"/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/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הנאשם ניצל את זכותו לומר דברים אחרונים והביע חרטה וצער על מעשיו</w:t>
      </w:r>
      <w:r>
        <w:rPr>
          <w:rStyle w:val="LineNumber"/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ind w:hanging="567" w:start="567" w:end="-142"/>
        <w:jc w:val="both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עובדות כתב האישום מציירות </w:t>
      </w:r>
      <w:r>
        <w:rPr>
          <w:rFonts w:ascii="Arial" w:hAnsi="Arial" w:cs="Arial"/>
          <w:rtl w:val="true"/>
        </w:rPr>
        <w:t>אירוע</w:t>
      </w:r>
      <w:r>
        <w:rPr>
          <w:rFonts w:ascii="Arial" w:hAnsi="Arial" w:cs="Arial"/>
          <w:rtl w:val="true"/>
        </w:rPr>
        <w:t xml:space="preserve"> חמור</w:t>
      </w:r>
      <w:r>
        <w:rPr>
          <w:rFonts w:ascii="Arial" w:hAnsi="Arial" w:cs="Arial"/>
          <w:rtl w:val="true"/>
        </w:rPr>
        <w:t xml:space="preserve"> של בריונות וונדאליזם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ושותפו לעבירה חברו יחדיו וגרמו במזיד לנזק לרכב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במזימה שתוכננה מראש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אגב שימוש בנשק חם בדמות בקבוק תבערה שהושלך לרכב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המעשים המתוארים בכתב האישום חמורים עד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ין</w:t>
      </w:r>
      <w:r>
        <w:rPr>
          <w:rFonts w:ascii="Arial" w:hAnsi="Arial" w:cs="Arial"/>
          <w:rtl w:val="true"/>
        </w:rPr>
        <w:t xml:space="preserve"> ניתן להתעלם מהתיקונים שהוכנסו לכתב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בגדרם נמחקו</w:t>
      </w:r>
      <w:r>
        <w:rPr>
          <w:rFonts w:ascii="Arial" w:hAnsi="Arial" w:cs="Arial"/>
          <w:rtl w:val="true"/>
        </w:rPr>
        <w:t xml:space="preserve"> מרבית הוראות החיקוק שיוחסו לנאשם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הצתה</w:t>
      </w:r>
      <w:r>
        <w:rPr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ייצור נשק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נשיאת נשק ושינוי זהות של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הוראת החיקוק היחידה שנ</w:t>
      </w:r>
      <w:r>
        <w:rPr>
          <w:rFonts w:ascii="Arial" w:hAnsi="Arial" w:cs="Arial"/>
          <w:rtl w:val="true"/>
        </w:rPr>
        <w:t>ותר</w:t>
      </w:r>
      <w:r>
        <w:rPr>
          <w:rFonts w:ascii="Arial" w:hAnsi="Arial" w:cs="Arial"/>
          <w:rtl w:val="true"/>
        </w:rPr>
        <w:t>ה על כנה הינה העבירה של חבלה במזיד לרכב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מטיעוני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תיקון כתב האישום התבצע על רקע קשיים ראייתיים ניכרים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לתיקון המשמעותי שבוצע בכתב האישום השלכה ניכרת על מידת העונש שיש להטיל על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שעל פי העובדות המתוארות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מקום להשית על</w:t>
      </w:r>
      <w:r>
        <w:rPr>
          <w:rFonts w:ascii="Arial" w:hAnsi="Arial" w:cs="Arial"/>
          <w:rtl w:val="true"/>
        </w:rPr>
        <w:t>יו</w:t>
      </w:r>
      <w:r>
        <w:rPr>
          <w:rFonts w:ascii="Arial" w:hAnsi="Arial" w:cs="Arial"/>
          <w:rtl w:val="true"/>
        </w:rPr>
        <w:t xml:space="preserve"> עונש חמור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משהגיעו הצדדים להסדר בגדרו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לייחס לו את המשקל הראוי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העבירה בה הורשע </w:t>
      </w:r>
      <w:r>
        <w:rPr>
          <w:rFonts w:ascii="Arial" w:hAnsi="Arial" w:cs="Arial"/>
          <w:rtl w:val="true"/>
        </w:rPr>
        <w:t>אינה מבטאת את חומרת המעשים המתוארים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חזקה על באי כוח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לא בכדי </w:t>
      </w:r>
      <w:r>
        <w:rPr>
          <w:rFonts w:ascii="Arial" w:hAnsi="Arial" w:cs="Arial"/>
          <w:rtl w:val="true"/>
        </w:rPr>
        <w:t xml:space="preserve">ערכו את תיקון כתב האישום </w:t>
      </w:r>
      <w:r>
        <w:rPr>
          <w:rFonts w:ascii="Arial" w:hAnsi="Arial" w:cs="Arial"/>
          <w:rtl w:val="true"/>
        </w:rPr>
        <w:t xml:space="preserve">אלא </w:t>
      </w:r>
      <w:r>
        <w:rPr>
          <w:rFonts w:ascii="Arial" w:hAnsi="Arial" w:cs="Arial"/>
          <w:rtl w:val="true"/>
        </w:rPr>
        <w:t>מחמת קשיים ראייתיים של ממש ולפיכך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שתהא הלימה בין העבירה בה הורשע הנאשם לבין העונש שיוטל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ובאשר לנסיבותיו האישיות של הנאשם – עולה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הגם שהיה מעורב בעבר בפליליים הרי שאין מדובר בצעיר בעל דפוסי התנהגות עברייניים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השנה שחלפה ממועד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הנאשם מאמץ ניכר להשתקם ולעלות על דרך המלך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2" w:leader="none"/>
        </w:tabs>
        <w:spacing w:lineRule="auto" w:line="360" w:before="0" w:after="240"/>
        <w:ind w:hanging="567" w:start="567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 כי י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 להסתפק בעונש מאסר אשר ירוצה בעבודות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יאפשר לנאשם להמשיך בשיקום בו החל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אגב הפקת לקחים </w:t>
      </w:r>
      <w:r>
        <w:rPr>
          <w:rFonts w:ascii="Arial" w:hAnsi="Arial" w:cs="Arial"/>
          <w:rtl w:val="true"/>
        </w:rPr>
        <w:t>מההליך המשפטי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 xml:space="preserve">: 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hanging="567" w:start="1275" w:end="-142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למפורט בחוות דעת הממונה על 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שתחודש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ניתנה חוות דעת אשר מועד תחילת העבודה בה חלף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hanging="567" w:start="1275" w:end="-142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והתנאי הוא שהנאשם לא יעבור עבירה בה הורשע לרבות כל עבירה שהיא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hanging="567" w:start="1275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רכב מאזדה 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רישוי </w:t>
      </w:r>
      <w:r>
        <w:rPr>
          <w:rStyle w:val="aa-h"/>
          <w:rFonts w:cs="Arial" w:ascii="Arial" w:hAnsi="Arial"/>
        </w:rPr>
        <w:t>4253469</w:t>
      </w:r>
      <w:r>
        <w:rPr>
          <w:rStyle w:val="aa-h"/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בבעלות הנאשם יחולט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אם הנאשם ימציא למשטרת ישראל אישור לפיו הרכב ניזוק בתאונה באורח טוטאלי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hanging="567" w:start="1275" w:end="-142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</w:t>
      </w:r>
      <w:r>
        <w:rPr>
          <w:rFonts w:ascii="Arial" w:hAnsi="Arial" w:cs="Arial"/>
          <w:rtl w:val="true"/>
        </w:rPr>
        <w:t xml:space="preserve">שלם למתלונן פיצוי </w:t>
      </w:r>
      <w:r>
        <w:rPr>
          <w:rFonts w:ascii="Arial" w:hAnsi="Arial" w:cs="Arial"/>
          <w:rtl w:val="true"/>
        </w:rPr>
        <w:t xml:space="preserve">בסכום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ind w:start="127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ש 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start="1275"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51293715129371</w:t>
      </w:r>
    </w:p>
    <w:tbl>
      <w:tblPr>
        <w:bidiVisual w:val="true"/>
        <w:tblW w:w="320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2"/>
      </w:tblGrid>
      <w:tr>
        <w:trPr>
          <w:trHeight w:val="561" w:hRule="atLeast"/>
        </w:trPr>
        <w:tc>
          <w:tcPr>
            <w:tcW w:w="32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5467831354678313</w:t>
            </w:r>
          </w:p>
        </w:tc>
      </w:tr>
      <w:tr>
        <w:trPr>
          <w:trHeight w:val="345" w:hRule="atLeast"/>
        </w:trPr>
        <w:tc>
          <w:tcPr>
            <w:tcW w:w="320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3" w:name="_GoBack"/>
      <w:bookmarkEnd w:id="1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25842-03-12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לירן סבן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02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sz w:val="24"/>
        <w:b w:val="false"/>
        <w:szCs w:val="24"/>
        <w:bCs w:val="false"/>
        <w:rFonts w:ascii="Arial" w:hAnsi="Arial" w:cs="Aria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Arial" w:hAnsi="Arial" w:cs="Arial"/>
      <w:b w:val="false"/>
      <w:bCs w:val="false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aa-h">
    <w:name w:val="aa-h"/>
    <w:qFormat/>
    <w:rPr>
      <w:rFonts w:cs="Times New Roman"/>
    </w:rPr>
  </w:style>
  <w:style w:type="character" w:styleId="LineNumber">
    <w:name w:val="line number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bidi w:val="0"/>
      <w:ind w:hanging="0" w:start="720" w:end="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13e" TargetMode="External"/><Relationship Id="rId4" Type="http://schemas.openxmlformats.org/officeDocument/2006/relationships/hyperlink" Target="http://www.nevo.co.il/law/70301/413e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2016-01-24T15:23:00Z</dcterms:created>
  <dc:creator> </dc:creator>
  <dc:description/>
  <cp:keywords/>
  <dc:language>en-IL</dc:language>
  <cp:lastModifiedBy>yafit</cp:lastModifiedBy>
  <dcterms:modified xsi:type="dcterms:W3CDTF">2016-01-24T15:23:00Z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לירן סבן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20130227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ורדה מרוז</vt:lpwstr>
  </property>
  <property fmtid="{D5CDD505-2E9C-101B-9397-08002B2CF9AE}" pid="13" name="LAWLISTTMP1">
    <vt:lpwstr>70301/413e</vt:lpwstr>
  </property>
  <property fmtid="{D5CDD505-2E9C-101B-9397-08002B2CF9AE}" pid="14" name="LAWYER">
    <vt:lpwstr>אורי רניצקי;יוסי זילברברג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25842</vt:lpwstr>
  </property>
  <property fmtid="{D5CDD505-2E9C-101B-9397-08002B2CF9AE}" pid="21" name="NEWPARTB">
    <vt:lpwstr>03</vt:lpwstr>
  </property>
  <property fmtid="{D5CDD505-2E9C-101B-9397-08002B2CF9AE}" pid="22" name="NEWPARTC">
    <vt:lpwstr>12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390020130227</vt:lpwstr>
  </property>
  <property fmtid="{D5CDD505-2E9C-101B-9397-08002B2CF9AE}" pid="33" name="TYPE_N_DATE">
    <vt:lpwstr>39020130227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