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0"/>
      </w:tblGrid>
      <w:tr>
        <w:trPr>
          <w:trHeight w:val="337" w:hRule="atLeast"/>
        </w:trPr>
        <w:tc>
          <w:tcPr>
            <w:tcW w:w="8720" w:type="dxa"/>
            <w:tcBorders/>
          </w:tcPr>
          <w:p>
            <w:pPr>
              <w:pStyle w:val="Header"/>
              <w:tabs>
                <w:tab w:val="clear" w:pos="720"/>
              </w:tabs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/>
            </w:pPr>
            <w:r>
              <w:rPr>
                <w:rtl w:val="true"/>
              </w:rPr>
              <w:drawing>
                <wp:inline distT="0" distB="0" distL="0" distR="0">
                  <wp:extent cx="513715" cy="571500"/>
                  <wp:effectExtent l="0" t="0" r="0" b="0"/>
                  <wp:docPr id="1" name="Menora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nora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1" t="-28" r="-31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bidiVisual w:val="true"/>
              <w:tblW w:w="8504" w:type="dxa"/>
              <w:jc w:val="center"/>
              <w:tblInd w:w="0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3882"/>
              <w:gridCol w:w="1041"/>
              <w:gridCol w:w="3581"/>
            </w:tblGrid>
            <w:tr>
              <w:trPr>
                <w:trHeight w:val="418" w:hRule="exact"/>
              </w:trPr>
              <w:tc>
                <w:tcPr>
                  <w:tcW w:w="8504" w:type="dxa"/>
                  <w:gridSpan w:val="3"/>
                  <w:tcBorders/>
                </w:tcPr>
                <w:p>
                  <w:pPr>
                    <w:pStyle w:val="Header"/>
                    <w:tabs>
                      <w:tab w:val="clear" w:pos="720"/>
                    </w:tabs>
                    <w:ind w:end="0"/>
                    <w:jc w:val="center"/>
                    <w:rPr>
                      <w:rFonts w:ascii="Tahoma" w:hAnsi="Tahoma" w:cs="Tahoma"/>
                      <w:b/>
                      <w:bCs/>
                      <w:color w:val="00008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/>
                      <w:bCs/>
                      <w:color w:val="000080"/>
                      <w:sz w:val="20"/>
                      <w:sz w:val="20"/>
                      <w:szCs w:val="20"/>
                      <w:rtl w:val="true"/>
                    </w:rPr>
                    <w:t>בית משפט השלום בנצרת</w:t>
                  </w:r>
                </w:p>
              </w:tc>
            </w:tr>
            <w:tr>
              <w:trPr>
                <w:trHeight w:val="337" w:hRule="atLeast"/>
              </w:trPr>
              <w:tc>
                <w:tcPr>
                  <w:tcW w:w="3882" w:type="dxa"/>
                  <w:tcBorders/>
                </w:tcPr>
                <w:p>
                  <w:pPr>
                    <w:pStyle w:val="Normal"/>
                    <w:ind w:end="0"/>
                    <w:jc w:val="start"/>
                    <w:rPr/>
                  </w:pP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ת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>"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פ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 xml:space="preserve">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2588-07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 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מ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>.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י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. 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פרקליטות מחוז הצפון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>-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פלילי נ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' 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עואודה</w:t>
                  </w:r>
                </w:p>
                <w:p>
                  <w:pPr>
                    <w:pStyle w:val="Normal"/>
                    <w:ind w:end="0"/>
                    <w:jc w:val="start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</w:r>
                </w:p>
              </w:tc>
              <w:tc>
                <w:tcPr>
                  <w:tcW w:w="1041" w:type="dxa"/>
                  <w:tcBorders/>
                </w:tcPr>
                <w:p>
                  <w:pPr>
                    <w:pStyle w:val="Header"/>
                    <w:snapToGrid w:val="false"/>
                    <w:ind w:end="0"/>
                    <w:jc w:val="end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</w:r>
                </w:p>
              </w:tc>
              <w:tc>
                <w:tcPr>
                  <w:tcW w:w="3581" w:type="dxa"/>
                  <w:tcBorders/>
                </w:tcPr>
                <w:p>
                  <w:pPr>
                    <w:pStyle w:val="Header"/>
                    <w:tabs>
                      <w:tab w:val="clear" w:pos="720"/>
                    </w:tabs>
                    <w:ind w:end="0"/>
                    <w:jc w:val="end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13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 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 xml:space="preserve">מאי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2008</w:t>
                  </w:r>
                </w:p>
              </w:tc>
            </w:tr>
          </w:tbl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אזולאי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</w:p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0" w:name="LastJudge"/>
      <w:bookmarkStart w:id="1" w:name="FirstAppellant"/>
      <w:bookmarkStart w:id="2" w:name="LastJudge"/>
      <w:bookmarkStart w:id="3" w:name="FirstAppellant"/>
      <w:bookmarkEnd w:id="2"/>
      <w:bookmarkEnd w:id="3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אחמד עואודה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  <w:t>&lt;</w:t>
      </w:r>
      <w:r>
        <w:rPr>
          <w:sz w:val="6"/>
          <w:szCs w:val="6"/>
          <w:u w:val="none"/>
        </w:rPr>
        <w:t>#2#</w:t>
      </w:r>
      <w:r>
        <w:rPr>
          <w:sz w:val="6"/>
          <w:szCs w:val="6"/>
          <w:u w:val="none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 xml:space="preserve">מתמחה מר ירון עטיה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מפרקליטות מחוז צפון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הופיע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4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4"/>
      <w:r>
        <w:rPr>
          <w:b w:val="false"/>
          <w:b w:val="false"/>
          <w:bCs w:val="false"/>
          <w:u w:val="none"/>
          <w:rtl w:val="true"/>
        </w:rPr>
        <w:t xml:space="preserve">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פאהים דאוד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  <w:u w:val="single"/>
        </w:rPr>
      </w:pPr>
      <w:r>
        <w:rPr>
          <w:rFonts w:cs="Arial" w:ascii="Arial" w:hAnsi="Arial"/>
          <w:b/>
          <w:bCs/>
          <w:sz w:val="6"/>
          <w:szCs w:val="6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/>
      </w:pPr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 בכתב אישום מתוקן</w:t>
      </w:r>
      <w:r>
        <w:rPr>
          <w:rtl w:val="true"/>
        </w:rPr>
        <w:t xml:space="preserve">, </w:t>
      </w:r>
      <w:r>
        <w:rPr>
          <w:rtl w:val="true"/>
        </w:rPr>
        <w:t xml:space="preserve">בביצוע עבירת נשק לפי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hyperlink r:id="rId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/>
      </w:pPr>
      <w:r>
        <w:rPr>
          <w:rtl w:val="true"/>
        </w:rPr>
        <w:t xml:space="preserve">ביום </w:t>
      </w:r>
      <w:r>
        <w:rPr/>
        <w:t>10.10.07</w:t>
      </w:r>
      <w:r>
        <w:rPr>
          <w:rtl w:val="true"/>
        </w:rPr>
        <w:t xml:space="preserve">, </w:t>
      </w:r>
      <w:r>
        <w:rPr>
          <w:rtl w:val="true"/>
        </w:rPr>
        <w:t>החזיק הנאשם בביתו בכפר קנא</w:t>
      </w:r>
      <w:r>
        <w:rPr>
          <w:rtl w:val="true"/>
        </w:rPr>
        <w:t xml:space="preserve">, </w:t>
      </w:r>
      <w:r>
        <w:rPr>
          <w:rtl w:val="true"/>
        </w:rPr>
        <w:t xml:space="preserve">אקדח מסוג </w:t>
      </w:r>
      <w:r>
        <w:rPr>
          <w:rtl w:val="true"/>
        </w:rPr>
        <w:t>"</w:t>
      </w:r>
      <w:r>
        <w:rPr/>
        <w:t>STAR</w:t>
      </w:r>
      <w:r>
        <w:rPr>
          <w:rtl w:val="true"/>
        </w:rPr>
        <w:t xml:space="preserve">" </w:t>
      </w:r>
      <w:r>
        <w:rPr>
          <w:rtl w:val="true"/>
        </w:rPr>
        <w:t xml:space="preserve">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ובתוכו מחסנית טעונה 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נתפסה תחמושת לאקדח הכוללת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כדורים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וכן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כדורים לרובה בקוטר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Heading4"/>
        <w:ind w:hanging="0" w:start="0" w:end="0"/>
        <w:jc w:val="start"/>
        <w:rPr>
          <w:rFonts w:cs="David"/>
          <w:b w:val="false"/>
          <w:bCs w:val="false"/>
          <w:sz w:val="24"/>
          <w:u w:val="single"/>
        </w:rPr>
      </w:pPr>
      <w:r>
        <w:rPr>
          <w:rFonts w:cs="David"/>
          <w:sz w:val="24"/>
          <w:sz w:val="24"/>
          <w:u w:val="single"/>
          <w:rtl w:val="true"/>
        </w:rPr>
        <w:t>תסקיר</w:t>
      </w:r>
      <w:r>
        <w:rPr>
          <w:rFonts w:eastAsia="Times New Roman"/>
          <w:sz w:val="24"/>
          <w:sz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u w:val="single"/>
          <w:rtl w:val="true"/>
        </w:rPr>
        <w:t>שירות</w:t>
      </w:r>
      <w:r>
        <w:rPr>
          <w:rFonts w:eastAsia="Times New Roman"/>
          <w:sz w:val="24"/>
          <w:sz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u w:val="single"/>
          <w:rtl w:val="true"/>
        </w:rPr>
        <w:t>מבחן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rtl w:val="true"/>
        </w:rPr>
        <w:t>משני התסקירים שהוגשו לגביו</w:t>
      </w:r>
      <w:r>
        <w:rPr>
          <w:rtl w:val="true"/>
        </w:rPr>
        <w:t xml:space="preserve">, </w:t>
      </w:r>
      <w:r>
        <w:rPr>
          <w:rtl w:val="true"/>
        </w:rPr>
        <w:t>עולה כי הנאשם לדבריו קנה את הנשק לפני שנים רבות</w:t>
      </w:r>
      <w:r>
        <w:rPr>
          <w:rtl w:val="true"/>
        </w:rPr>
        <w:t xml:space="preserve">, </w:t>
      </w:r>
      <w:r>
        <w:rPr>
          <w:rtl w:val="true"/>
        </w:rPr>
        <w:t>מעולם לא השתמש בו ושמר עליו בסתר בביתו</w:t>
      </w:r>
      <w:r>
        <w:rPr>
          <w:rtl w:val="true"/>
        </w:rPr>
        <w:t xml:space="preserve">. </w:t>
      </w:r>
      <w:r>
        <w:rPr>
          <w:rtl w:val="true"/>
        </w:rPr>
        <w:t>הנאשם הביע חרטה ומודעות לחומרת מעשיו ולעובדה כי עליו לשלם את המחיר בעקבות כשלונו ההתנהגותי</w:t>
      </w:r>
      <w:r>
        <w:rPr>
          <w:rtl w:val="true"/>
        </w:rPr>
        <w:t xml:space="preserve">, </w:t>
      </w:r>
      <w:r>
        <w:rPr>
          <w:rtl w:val="true"/>
        </w:rPr>
        <w:t>אולם התקשה להסביר מדוע היה בביתו אקדח טעון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rtl w:val="true"/>
        </w:rPr>
        <w:t>שירות המבחן התרשם כי הנאשם פועל בדרך כלל לפי הנורמות המקובלות</w:t>
      </w:r>
      <w:r>
        <w:rPr>
          <w:rtl w:val="true"/>
        </w:rPr>
        <w:t xml:space="preserve">. </w:t>
      </w:r>
      <w:r>
        <w:rPr>
          <w:rtl w:val="true"/>
        </w:rPr>
        <w:t>ביטויי החרטה שלו מחוברים בעיקר לחששות שלו מההליך המשפטי</w:t>
      </w:r>
      <w:r>
        <w:rPr>
          <w:rtl w:val="true"/>
        </w:rPr>
        <w:t xml:space="preserve">. </w:t>
      </w:r>
      <w:r>
        <w:rPr>
          <w:rtl w:val="true"/>
        </w:rPr>
        <w:t>הנאשם חושש מתוצאות ההליך המשפטי והשלכותיו ופחות מתבונן בחומרת מעשיו ומשמעות התנהגותו</w:t>
      </w:r>
      <w:r>
        <w:rPr>
          <w:rtl w:val="true"/>
        </w:rPr>
        <w:t xml:space="preserve">. </w:t>
      </w:r>
      <w:r>
        <w:rPr>
          <w:rtl w:val="true"/>
        </w:rPr>
        <w:t>שירות המבחן לא בא בהמלצה טיפולית</w:t>
      </w:r>
      <w:r>
        <w:rPr>
          <w:rtl w:val="true"/>
        </w:rPr>
        <w:t xml:space="preserve">, </w:t>
      </w:r>
      <w:r>
        <w:rPr>
          <w:rtl w:val="true"/>
        </w:rPr>
        <w:t>אולם הוסיף כי שליחתו למאסר בפועל עלולה לגרום לנזק כלכלי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ביקש לגזור על הנאשם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נושא החזקת הנשק</w:t>
      </w:r>
      <w:r>
        <w:rPr>
          <w:rtl w:val="true"/>
        </w:rPr>
        <w:t xml:space="preserve">, </w:t>
      </w:r>
      <w:r>
        <w:rPr>
          <w:rtl w:val="true"/>
        </w:rPr>
        <w:t>הפך בשנים האחרונות לתופעה קשה וחמורה</w:t>
      </w:r>
      <w:r>
        <w:rPr>
          <w:rtl w:val="true"/>
        </w:rPr>
        <w:t xml:space="preserve">, </w:t>
      </w:r>
      <w:r>
        <w:rPr>
          <w:rtl w:val="true"/>
        </w:rPr>
        <w:t>כשהנשק משמש לפתרון של סכסוכים ועימותים</w:t>
      </w:r>
      <w:r>
        <w:rPr>
          <w:rtl w:val="true"/>
        </w:rPr>
        <w:t xml:space="preserve">, </w:t>
      </w:r>
      <w:r>
        <w:rPr>
          <w:rtl w:val="true"/>
        </w:rPr>
        <w:t>ועל כן יש לשדר מסר שהעבירה לא כדאית</w:t>
      </w:r>
      <w:r>
        <w:rPr>
          <w:rtl w:val="true"/>
        </w:rPr>
        <w:t xml:space="preserve">. </w:t>
      </w:r>
      <w:r>
        <w:rPr>
          <w:rtl w:val="true"/>
        </w:rPr>
        <w:t>מהתסקיר עולה שאין בעניינו של הנאשם המלצה טיפולית</w:t>
      </w:r>
      <w:r>
        <w:rPr>
          <w:rtl w:val="true"/>
        </w:rPr>
        <w:t xml:space="preserve">, </w:t>
      </w:r>
      <w:r>
        <w:rPr>
          <w:rtl w:val="true"/>
        </w:rPr>
        <w:t>ותובנותיו לגביי חומרת העבירה נובעות משיקולים של רווח והפסד של ההליך המשפטי</w:t>
      </w:r>
      <w:r>
        <w:rPr>
          <w:rtl w:val="true"/>
        </w:rPr>
        <w:t xml:space="preserve">. </w:t>
      </w:r>
      <w:r>
        <w:rPr>
          <w:rtl w:val="true"/>
        </w:rPr>
        <w:t>השיקול הכלכלי כטענת שירות המבחן אינו שיקול נכון</w:t>
      </w:r>
      <w:r>
        <w:rPr>
          <w:rtl w:val="true"/>
        </w:rPr>
        <w:t xml:space="preserve">, </w:t>
      </w:r>
      <w:r>
        <w:rPr>
          <w:rtl w:val="true"/>
        </w:rPr>
        <w:t>לדידה של 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להסתפק במאסר על תנאי או לחילופין להמיר את המאסר בעבודות שירות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 הביע חרטה</w:t>
      </w:r>
      <w:r>
        <w:rPr>
          <w:rtl w:val="true"/>
        </w:rPr>
        <w:t xml:space="preserve">, </w:t>
      </w:r>
      <w:r>
        <w:rPr>
          <w:rtl w:val="true"/>
        </w:rPr>
        <w:t>הודה ולקח אחריות</w:t>
      </w:r>
      <w:r>
        <w:rPr>
          <w:rtl w:val="true"/>
        </w:rPr>
        <w:t xml:space="preserve">, </w:t>
      </w:r>
      <w:r>
        <w:rPr>
          <w:rtl w:val="true"/>
        </w:rPr>
        <w:t>הן בחקירה המשטרתית והן בבית המשפט עת הוגש כתב האישום</w:t>
      </w:r>
      <w:r>
        <w:rPr>
          <w:rtl w:val="true"/>
        </w:rPr>
        <w:t xml:space="preserve">. </w:t>
      </w:r>
      <w:r>
        <w:rPr>
          <w:rtl w:val="true"/>
        </w:rPr>
        <w:t>זוהי הסתבכותו הראשונה</w:t>
      </w:r>
      <w:r>
        <w:rPr>
          <w:rtl w:val="true"/>
        </w:rPr>
        <w:t xml:space="preserve">. </w:t>
      </w:r>
      <w:r>
        <w:rPr>
          <w:rtl w:val="true"/>
        </w:rPr>
        <w:t>מדובר בצעיר שעובד בעבודות עפר לצורך פרנסת משפחתו</w:t>
      </w:r>
      <w:r>
        <w:rPr>
          <w:rtl w:val="true"/>
        </w:rPr>
        <w:t xml:space="preserve">, </w:t>
      </w:r>
      <w:r>
        <w:rPr>
          <w:rtl w:val="true"/>
        </w:rPr>
        <w:t>אביו חולה ומצוי בחובות והנאשם מנסה לעזור 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rtl w:val="true"/>
        </w:rPr>
        <w:t>הנאשם בפניתו לבית המשפט ביקש סליחה וטען כי החזקת האקדח בבית היתה מעשה טיפשי ולשאלת בית המשפט לגבי מטרת ההחזקה</w:t>
      </w:r>
      <w:r>
        <w:rPr>
          <w:rtl w:val="true"/>
        </w:rPr>
        <w:t xml:space="preserve">, </w:t>
      </w:r>
      <w:r>
        <w:rPr>
          <w:rtl w:val="true"/>
        </w:rPr>
        <w:t>השיב כי אינו יודע מדוע עשה זאת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3"/>
        <w:tabs>
          <w:tab w:val="clear" w:pos="720"/>
          <w:tab w:val="left" w:pos="26" w:leader="none"/>
        </w:tabs>
        <w:ind w:hanging="26" w:start="26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BodyTextIndent3"/>
        <w:tabs>
          <w:tab w:val="clear" w:pos="720"/>
          <w:tab w:val="left" w:pos="26" w:leader="none"/>
        </w:tabs>
        <w:ind w:hanging="26" w:start="2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עבירות נשק ככלל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הינן מסוכנות וחמורות ביותר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 בעבירה בעלת סיכון פוטנציאלי גבוה</w:t>
      </w:r>
      <w:r>
        <w:rPr>
          <w:sz w:val="28"/>
          <w:szCs w:val="28"/>
          <w:rtl w:val="true"/>
        </w:rPr>
        <w:t>.</w:t>
      </w:r>
    </w:p>
    <w:p>
      <w:pPr>
        <w:pStyle w:val="BodyTextIndent3"/>
        <w:tabs>
          <w:tab w:val="clear" w:pos="720"/>
          <w:tab w:val="left" w:pos="26" w:leader="none"/>
        </w:tabs>
        <w:ind w:hanging="26" w:start="2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אדם המחזיק נשק ללא רשיון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מעיד על עצמו כי הוא מסוכן ועל כן יש להרחיקו מהחברה</w:t>
      </w:r>
      <w:r>
        <w:rPr>
          <w:sz w:val="28"/>
          <w:szCs w:val="28"/>
          <w:rtl w:val="true"/>
        </w:rPr>
        <w:t>.</w:t>
      </w:r>
    </w:p>
    <w:p>
      <w:pPr>
        <w:pStyle w:val="BodyTextIndent3"/>
        <w:tabs>
          <w:tab w:val="clear" w:pos="720"/>
          <w:tab w:val="left" w:pos="26" w:leader="none"/>
        </w:tabs>
        <w:ind w:hanging="26" w:start="2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במקרה שלפנינו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הנאשם לא נתן הסבר להמצאות </w:t>
      </w:r>
      <w:r>
        <w:rPr>
          <w:sz w:val="28"/>
          <w:sz w:val="28"/>
          <w:szCs w:val="28"/>
          <w:u w:val="single"/>
          <w:rtl w:val="true"/>
        </w:rPr>
        <w:t>אקדח טעון</w:t>
      </w:r>
      <w:r>
        <w:rPr>
          <w:sz w:val="28"/>
          <w:sz w:val="28"/>
          <w:szCs w:val="28"/>
          <w:rtl w:val="true"/>
        </w:rPr>
        <w:t xml:space="preserve"> ותחמושת נוספת בביתו</w:t>
      </w:r>
      <w:r>
        <w:rPr>
          <w:sz w:val="28"/>
          <w:szCs w:val="28"/>
          <w:rtl w:val="true"/>
        </w:rPr>
        <w:t xml:space="preserve">. </w:t>
      </w:r>
    </w:p>
    <w:p>
      <w:pPr>
        <w:pStyle w:val="BodyTextIndent3"/>
        <w:tabs>
          <w:tab w:val="clear" w:pos="720"/>
          <w:tab w:val="left" w:pos="26" w:leader="none"/>
        </w:tabs>
        <w:ind w:hanging="26" w:start="2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נראה כי הנאשם מנסה למזער את חומרת העבירה בהימנעו מלספק הסבר מניח את הדעת למטרת החזקת האקדח הטעון  והתחמושת</w:t>
      </w:r>
      <w:r>
        <w:rPr>
          <w:sz w:val="28"/>
          <w:szCs w:val="28"/>
          <w:rtl w:val="true"/>
        </w:rPr>
        <w:t>.</w:t>
      </w:r>
    </w:p>
    <w:p>
      <w:pPr>
        <w:pStyle w:val="BodyTextIndent3"/>
        <w:tabs>
          <w:tab w:val="clear" w:pos="720"/>
          <w:tab w:val="left" w:pos="26" w:leader="none"/>
        </w:tabs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3"/>
        <w:tabs>
          <w:tab w:val="clear" w:pos="720"/>
          <w:tab w:val="left" w:pos="26" w:leader="none"/>
        </w:tabs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צודק 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 המאשימה בדבריו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 הנימוק של מצוקה כלכלית באם יוטל 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לאו נימוק הוא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באשר ניתן לטעון טענה זו לגבי כל מועמד למאסר</w:t>
      </w:r>
      <w:r>
        <w:rPr>
          <w:sz w:val="24"/>
          <w:szCs w:val="24"/>
          <w:rtl w:val="true"/>
        </w:rPr>
        <w:t>.</w:t>
      </w:r>
    </w:p>
    <w:p>
      <w:pPr>
        <w:pStyle w:val="BodyTextIndent3"/>
        <w:tabs>
          <w:tab w:val="clear" w:pos="720"/>
          <w:tab w:val="left" w:pos="26" w:leader="none"/>
        </w:tabs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rtl w:val="true"/>
        </w:rPr>
        <w:t>בעבירה מסוג זה נקבעה זה זמן מדיניות ענישה מחמירה</w:t>
      </w:r>
      <w:r>
        <w:rPr>
          <w:rtl w:val="true"/>
        </w:rPr>
        <w:t xml:space="preserve">, </w:t>
      </w:r>
      <w:r>
        <w:rPr>
          <w:rtl w:val="true"/>
        </w:rPr>
        <w:t>הן בשל חומרת העבירה והסכנות הגלומות בה והן בשל הצורך בהרתעת עבריינים בכח</w:t>
      </w:r>
      <w:r>
        <w:rPr>
          <w:rtl w:val="true"/>
        </w:rPr>
        <w:t xml:space="preserve">. </w:t>
      </w:r>
      <w:r>
        <w:rPr>
          <w:rtl w:val="true"/>
        </w:rPr>
        <w:t>ראה לעניין זה דבריו של כב</w:t>
      </w:r>
      <w:r>
        <w:rPr>
          <w:rtl w:val="true"/>
        </w:rPr>
        <w:t xml:space="preserve">' </w:t>
      </w:r>
      <w:r>
        <w:rPr>
          <w:rtl w:val="true"/>
        </w:rPr>
        <w:t>השופט ס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 ב</w:t>
      </w:r>
      <w:hyperlink r:id="rId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אבו דאחל </w:t>
      </w:r>
      <w:r>
        <w:rPr>
          <w:rtl w:val="true"/>
        </w:rPr>
        <w:t>:</w:t>
      </w:r>
    </w:p>
    <w:p>
      <w:pPr>
        <w:pStyle w:val="BodyTextIndent3"/>
        <w:tabs>
          <w:tab w:val="clear" w:pos="720"/>
          <w:tab w:val="left" w:pos="566" w:leader="none"/>
        </w:tabs>
        <w:ind w:hanging="0" w:start="566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מעבר לנדרש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בבוא בית</w:t>
      </w:r>
      <w:r>
        <w:rPr>
          <w:b/>
          <w:bCs/>
          <w:sz w:val="28"/>
          <w:szCs w:val="28"/>
          <w:rtl w:val="true"/>
        </w:rPr>
        <w:t>-</w:t>
      </w:r>
      <w:r>
        <w:rPr>
          <w:b/>
          <w:b/>
          <w:bCs/>
          <w:sz w:val="28"/>
          <w:sz w:val="28"/>
          <w:szCs w:val="28"/>
          <w:rtl w:val="true"/>
        </w:rPr>
        <w:t>המשפט לשקול את הענישה בעבירות מסוג זה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על פני הנסיבות האישיות של העבריין</w:t>
      </w:r>
      <w:r>
        <w:rPr>
          <w:b/>
          <w:bCs/>
          <w:sz w:val="28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end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ראה עוד לעניין זה </w:t>
      </w:r>
      <w:hyperlink r:id="rId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5785/05</w:t>
        </w:r>
      </w:hyperlink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פואז ענבוסי שם נקבע ע</w:t>
      </w:r>
      <w:r>
        <w:rPr>
          <w:rtl w:val="true"/>
        </w:rPr>
        <w:t>"</w:t>
      </w:r>
      <w:r>
        <w:rPr>
          <w:rtl w:val="true"/>
        </w:rPr>
        <w:t>י 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. </w:t>
      </w:r>
      <w:r>
        <w:rPr>
          <w:rtl w:val="true"/>
        </w:rPr>
        <w:t>לוי</w:t>
      </w:r>
      <w:r>
        <w:rPr>
          <w:rtl w:val="true"/>
        </w:rPr>
        <w:t xml:space="preserve">: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720" w:end="0"/>
        <w:jc w:val="start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קביעתו של בית משפט השלום לפיה עבירות בנשק הן חמורות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נסמכת במידה רבה על הלכות שיצאו מבית משפט זה ולא ניתן לומר כי היה זה בית משפט השלום אשר התווה את רף הענישה בסוגיה זו</w:t>
      </w:r>
      <w:r>
        <w:rPr>
          <w:b/>
          <w:bCs/>
          <w:rtl w:val="true"/>
        </w:rPr>
        <w:t>....".</w:t>
      </w:r>
    </w:p>
    <w:p>
      <w:pPr>
        <w:pStyle w:val="Normal"/>
        <w:spacing w:lineRule="auto" w:line="360"/>
        <w:ind w:start="720" w:end="0"/>
        <w:jc w:val="start"/>
        <w:rPr>
          <w:b/>
          <w:bCs/>
        </w:rPr>
      </w:pP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אתחשב בהודאתו של הנאשם</w:t>
      </w:r>
      <w:r>
        <w:rPr>
          <w:rtl w:val="true"/>
        </w:rPr>
        <w:t xml:space="preserve">, </w:t>
      </w:r>
      <w:r>
        <w:rPr>
          <w:rtl w:val="true"/>
        </w:rPr>
        <w:t>אך לא אוכל להתעלם מחומרת העבירה ומהעדר הסברים מצדו להחזקת אקדח טעון ותחמושת בביתו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לאחר ששמעתי את טיעוני הצדדים ושקלתי את הנסיבות של המקרה</w:t>
      </w:r>
      <w:r>
        <w:rPr>
          <w:rtl w:val="true"/>
        </w:rPr>
        <w:t xml:space="preserve">, </w:t>
      </w:r>
      <w:r>
        <w:rPr>
          <w:rtl w:val="true"/>
        </w:rPr>
        <w:t>אני מטיל עונש 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אני מטיל על הנאשם מאסר בפועל של שנה אחת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מטיל על הנאשם מאסר על תנאי של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חודשים למשך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 יעבור על אותה עבירה או כל עבירה הקשורה בשימוש החזקה או סחר בנשק חם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דן את הנאשם לקנס בסך  </w:t>
      </w:r>
      <w:r>
        <w:rPr>
          <w:b/>
          <w:bCs/>
        </w:rPr>
        <w:t>3000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ח או </w:t>
      </w:r>
      <w:r>
        <w:rPr>
          <w:b/>
          <w:bCs/>
        </w:rPr>
        <w:t>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הקנס ישולם  ב</w:t>
      </w:r>
      <w:r>
        <w:rPr>
          <w:b/>
          <w:bCs/>
          <w:rtl w:val="true"/>
        </w:rPr>
        <w:t xml:space="preserve">- 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תשלומים חודשיים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תשלום ראשון בעוד חודש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במידה והופקדו כספים במסגרת תיק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 לקזזם עם הקנס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המוצגים יחולטו לטובת אוצר המדינה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 בבית משפט מחוזי בנצרת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13/05/2008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622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28"/>
      </w:tblGrid>
      <w:tr>
        <w:trPr/>
        <w:tc>
          <w:tcPr>
            <w:tcW w:w="622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</w:tr>
      <w:tr>
        <w:trPr/>
        <w:tc>
          <w:tcPr>
            <w:tcW w:w="6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ascii="Times New Roman" w:hAnsi="Times New Roman" w:eastAsia="Times New Roman" w:cs="FrankRuehl"/>
                <w:rtl w:val="true"/>
              </w:rPr>
              <w:t>ג</w:t>
            </w:r>
            <w:r>
              <w:rPr>
                <w:rFonts w:eastAsia="Times New Roman" w:cs="FrankRuehl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FrankRuehl"/>
                <w:rtl w:val="true"/>
              </w:rPr>
              <w:t>ורג</w:t>
            </w:r>
            <w:r>
              <w:rPr>
                <w:rFonts w:eastAsia="Times New Roman" w:cs="FrankRuehl" w:ascii="Times New Roman" w:hAnsi="Times New Roman"/>
                <w:rtl w:val="true"/>
              </w:rPr>
              <w:t>'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rtl w:val="true"/>
              </w:rPr>
              <w:t>אזולאי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FrankRuehl"/>
                <w:rtl w:val="true"/>
              </w:rPr>
              <w:t>סגן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tl w:val="true"/>
        </w:rPr>
        <w:t xml:space="preserve">: </w:t>
      </w:r>
      <w:r>
        <w:rPr>
          <w:rtl w:val="true"/>
        </w:rPr>
        <w:t>מבקש עיכוב ביצוע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</w:t>
      </w:r>
      <w:r>
        <w:rPr>
          <w:rtl w:val="true"/>
        </w:rPr>
        <w:t xml:space="preserve">: </w:t>
      </w:r>
      <w:r>
        <w:rPr>
          <w:rtl w:val="true"/>
        </w:rPr>
        <w:t>לא מתנגד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לעכב ביצוע גזר הדין עד ליום  </w:t>
      </w:r>
      <w:r>
        <w:rPr>
          <w:sz w:val="24"/>
          <w:szCs w:val="24"/>
        </w:rPr>
        <w:t>27/5/08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שעה </w:t>
      </w:r>
      <w:r>
        <w:rPr>
          <w:sz w:val="24"/>
          <w:szCs w:val="24"/>
        </w:rPr>
        <w:t>08:00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במועד זה יתייצב לריצוי עונשו במשטרת נצרת אלא אם יוחלט אחרת על ידי בית המשפט המחוזי בנצרת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אזולאי 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622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28"/>
      </w:tblGrid>
      <w:tr>
        <w:trPr/>
        <w:tc>
          <w:tcPr>
            <w:tcW w:w="622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b/>
                <w:b/>
                <w:bCs/>
                <w:rtl w:val="true"/>
              </w:rPr>
              <w:t>ניתן והודע היום ח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אייר 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13/05/2008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/>
        <w:tc>
          <w:tcPr>
            <w:tcW w:w="6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ascii="Times New Roman" w:hAnsi="Times New Roman" w:eastAsia="Times New Roman" w:cs="FrankRuehl"/>
                <w:rtl w:val="true"/>
              </w:rPr>
              <w:t>ג</w:t>
            </w:r>
            <w:r>
              <w:rPr>
                <w:rFonts w:eastAsia="Times New Roman" w:cs="FrankRuehl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FrankRuehl"/>
                <w:rtl w:val="true"/>
              </w:rPr>
              <w:t>ורג</w:t>
            </w:r>
            <w:r>
              <w:rPr>
                <w:rFonts w:eastAsia="Times New Roman" w:cs="FrankRuehl" w:ascii="Times New Roman" w:hAnsi="Times New Roman"/>
                <w:rtl w:val="true"/>
              </w:rPr>
              <w:t>'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rtl w:val="true"/>
              </w:rPr>
              <w:t>אזולאי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FrankRuehl"/>
                <w:rtl w:val="true"/>
              </w:rPr>
              <w:t>סגן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עריכת המסמך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rFonts w:ascii="Arial" w:hAnsi="Arial" w:cs="Arial"/>
          <w:sz w:val="20"/>
          <w:sz w:val="20"/>
          <w:szCs w:val="20"/>
          <w:rtl w:val="true"/>
        </w:rPr>
        <w:t>מרטין פרץ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5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Cs w:val="22"/>
      </w:rPr>
    </w:pPr>
    <w:r>
      <w:rPr>
        <w:rFonts w:ascii="Times New Roman" w:hAnsi="Times New Roman" w:cs="Times New Roman"/>
        <w:color w:val="000000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Cs w:val="22"/>
        <w:rtl w:val="true"/>
      </w:rPr>
      <w:t>"</w:t>
    </w:r>
    <w:r>
      <w:rPr>
        <w:rFonts w:ascii="Times New Roman" w:hAnsi="Times New Roman" w:cs="Times New Roman"/>
        <w:color w:val="000000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Cs w:val="22"/>
      </w:rPr>
      <w:t>nevo.co.il</w:t>
    </w:r>
    <w:r>
      <w:rPr>
        <w:rFonts w:cs="Times New Roman" w:ascii="Times New Roman" w:hAnsi="Times New Roman"/>
        <w:color w:val="000000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/Users/liorb/Downloads/study2025-p2/SH-07-2588.doc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2588-07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הצפון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 עואודה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588-07"/>
    <w:docVar w:name="caseId" w:val="1975080"/>
    <w:docVar w:name="deriveClass" w:val="NGCS.Protocol.BL.Client.ProtocolBLClientCriminal"/>
    <w:docVar w:name="firstPageNumber" w:val="2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58788"/>
    <w:docVar w:name="releaseSign" w:val="0"/>
    <w:docVar w:name="sittingDateTime" w:val="13/05/2008 09:30     "/>
    <w:docVar w:name="sittingId" w:val="3005917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BodyTextIndent3">
    <w:name w:val="Body Text Indent 3"/>
    <w:basedOn w:val="Normal"/>
    <w:qFormat/>
    <w:pPr>
      <w:snapToGrid w:val="false"/>
      <w:spacing w:lineRule="auto" w:line="360"/>
      <w:ind w:hanging="709" w:start="658" w:end="0"/>
      <w:jc w:val="both"/>
    </w:pPr>
    <w:rPr>
      <w:rFonts w:ascii="Times New Roman" w:hAnsi="Times New Roman" w:eastAsia="Times New Roman" w:cs="Times New Roman"/>
      <w:sz w:val="22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852404" TargetMode="External"/><Relationship Id="rId9" Type="http://schemas.openxmlformats.org/officeDocument/2006/relationships/hyperlink" Target="http://www.nevo.co.il/case/6032534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2016-08-31T15:02:00Z</dcterms:created>
  <dc:creator>סתיו צולר</dc:creator>
  <dc:description/>
  <cp:keywords/>
  <dc:language>en-IL</dc:language>
  <cp:lastModifiedBy>run</cp:lastModifiedBy>
  <cp:lastPrinted>2008-05-13T10:15:00Z</cp:lastPrinted>
  <dcterms:modified xsi:type="dcterms:W3CDTF">2016-08-31T15:02:00Z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הצפון-פלילי</vt:lpwstr>
  </property>
  <property fmtid="{D5CDD505-2E9C-101B-9397-08002B2CF9AE}" pid="3" name="APPELLEE">
    <vt:lpwstr>אחמד עואודה</vt:lpwstr>
  </property>
  <property fmtid="{D5CDD505-2E9C-101B-9397-08002B2CF9AE}" pid="4" name="CASESLISTTMP1">
    <vt:lpwstr>5852404;6032534</vt:lpwstr>
  </property>
  <property fmtid="{D5CDD505-2E9C-101B-9397-08002B2CF9AE}" pid="5" name="CITY">
    <vt:lpwstr>נצ'</vt:lpwstr>
  </property>
  <property fmtid="{D5CDD505-2E9C-101B-9397-08002B2CF9AE}" pid="6" name="DATE">
    <vt:lpwstr>20080513</vt:lpwstr>
  </property>
  <property fmtid="{D5CDD505-2E9C-101B-9397-08002B2CF9AE}" pid="7" name="DELEMATA">
    <vt:lpwstr/>
  </property>
  <property fmtid="{D5CDD505-2E9C-101B-9397-08002B2CF9AE}" pid="8" name="JUDGE">
    <vt:lpwstr>ג'ורג' אזולאי </vt:lpwstr>
  </property>
  <property fmtid="{D5CDD505-2E9C-101B-9397-08002B2CF9AE}" pid="9" name="LAWLISTTMP1">
    <vt:lpwstr>70301/144.a:2</vt:lpwstr>
  </property>
  <property fmtid="{D5CDD505-2E9C-101B-9397-08002B2CF9AE}" pid="10" name="LAWYER">
    <vt:lpwstr>פאהים דאוד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2588</vt:lpwstr>
  </property>
  <property fmtid="{D5CDD505-2E9C-101B-9397-08002B2CF9AE}" pid="24" name="NEWPARTB">
    <vt:lpwstr/>
  </property>
  <property fmtid="{D5CDD505-2E9C-101B-9397-08002B2CF9AE}" pid="25" name="NEWPARTC">
    <vt:lpwstr>07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380020080513</vt:lpwstr>
  </property>
  <property fmtid="{D5CDD505-2E9C-101B-9397-08002B2CF9AE}" pid="36" name="TYPE_N_DATE">
    <vt:lpwstr>38020080513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