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260-08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ירושלים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רוזנטל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אמנון כהן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ירושלים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מאיר רוזנטל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יצחק אוחנה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מאיר רואימי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 אפריאט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חיים בן חיים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דוד בן לולו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אהרון גוטסדינר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 טרופ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יוני בן ארי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אליעזר ועקנין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קניטל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10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רובינשטיין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bookmarkStart w:id="4" w:name="PsakDin"/>
      <w:r>
        <w:rPr>
          <w:rFonts w:ascii="Arial" w:hAnsi="Arial" w:eastAsia="David" w:cs="Arial"/>
          <w:b/>
          <w:b/>
          <w:bCs/>
          <w:sz w:val="28"/>
          <w:sz w:val="28"/>
          <w:szCs w:val="28"/>
          <w:rtl w:val="true"/>
        </w:rPr>
        <w:t xml:space="preserve">גזר דין </w:t>
      </w:r>
      <w:bookmarkEnd w:id="4"/>
      <w:r>
        <w:rPr>
          <w:rFonts w:ascii="Arial" w:hAnsi="Arial" w:eastAsia="David" w:cs="Arial"/>
          <w:b/>
          <w:b/>
          <w:bCs/>
          <w:sz w:val="28"/>
          <w:sz w:val="28"/>
          <w:szCs w:val="28"/>
          <w:rtl w:val="true"/>
        </w:rPr>
        <w:t>משלים לנאשם מס</w:t>
      </w:r>
      <w:r>
        <w:rPr>
          <w:rFonts w:eastAsia="David"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eastAsia="David" w:cs="Arial" w:ascii="Arial" w:hAnsi="Arial"/>
          <w:b/>
          <w:bCs/>
          <w:sz w:val="28"/>
          <w:szCs w:val="28"/>
        </w:rPr>
        <w:t>10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</w:rPr>
      </w:pPr>
      <w:r>
        <w:rPr>
          <w:rFonts w:eastAsia="David" w:cs="David" w:ascii="David" w:hAnsi="David"/>
          <w:b/>
          <w:bCs/>
          <w:sz w:val="28"/>
          <w:szCs w:val="28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בהתאם להסדר הטיעון ולאחר שהתקבלה חוות דעת מתאימה מטעם הממונה על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אני קובע כי הנאשם יבצע שישה חודשי עבודות שירות ציבוריות במרכז הקהילתי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רח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הפלמ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ח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בצפת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תחילת העבודות ביום </w:t>
      </w:r>
      <w:r>
        <w:rPr>
          <w:rFonts w:cs="David" w:ascii="David" w:hAnsi="David"/>
        </w:rPr>
        <w:t>13.4.2010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5" w:name="LastJudge"/>
      <w:bookmarkEnd w:id="5"/>
      <w:r>
        <w:rPr>
          <w:rFonts w:ascii="David" w:hAnsi="David" w:cs="David"/>
          <w:rtl w:val="true"/>
        </w:rPr>
        <w:t>העבודות יבוצעו בימים א</w:t>
      </w:r>
      <w:r>
        <w:rPr>
          <w:rFonts w:cs="David" w:ascii="David" w:hAnsi="David"/>
          <w:rtl w:val="true"/>
        </w:rPr>
        <w:t>'-</w:t>
      </w:r>
      <w:r>
        <w:rPr>
          <w:rFonts w:ascii="David" w:hAnsi="David" w:cs="David"/>
          <w:rtl w:val="true"/>
        </w:rPr>
        <w:t>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 xml:space="preserve">מהשעה </w:t>
      </w:r>
      <w:r>
        <w:rPr>
          <w:rFonts w:cs="David" w:ascii="David" w:hAnsi="David"/>
        </w:rPr>
        <w:t>8:00-15:00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בערבי חג וחול המועד יועסק הנאשם כנהוג במקום העבודה וגם אם לא עבד באותו יום בין אם מנסיבותיו  ובין אם בגלל שהמקום סגור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יחויב ביום עבודה מלא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הנאשם יתייצב ביום </w:t>
      </w:r>
      <w:r>
        <w:rPr>
          <w:rFonts w:cs="David" w:ascii="David" w:hAnsi="David"/>
        </w:rPr>
        <w:t>13.4.2010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בשעה </w:t>
      </w:r>
      <w:r>
        <w:rPr>
          <w:rFonts w:cs="David" w:ascii="David" w:hAnsi="David"/>
        </w:rPr>
        <w:t>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לצורך קליטה והצבה במפקדת מחוז צפון מתחם בית סוהר חרמון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tl w:val="true"/>
        </w:rPr>
        <w:t>אני מחייב את הנאשם לעדכן את משרדי הממונה על עבודות שירות בכל שינוי אם יחול בכתובת מגוריו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עליו לעמוד בתנאי הפיקוח ובביקורות פתע וכל הפרה בתנאי השירות תביא להפסקה מנהלית ולריצוי העונש במאסר ממש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לבית משפט העליון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23/03/2010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>יש לשלוח העתק לממונה על עבודות השירות</w:t>
      </w:r>
      <w:r>
        <w:rPr>
          <w:rtl w:val="true"/>
        </w:rPr>
        <w:t xml:space="preserve">.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אמנון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כהן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איריס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חביב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/Users/liorb/Downloads/study2025-p2/ME-08-260-714.doc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260-08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ירושלים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מאיר רוזנטל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2010-03-24T01:39:00Z</dcterms:created>
  <dc:creator> </dc:creator>
  <dc:description/>
  <cp:keywords/>
  <dc:language>en-IL</dc:language>
  <cp:lastModifiedBy>comp</cp:lastModifiedBy>
  <dcterms:modified xsi:type="dcterms:W3CDTF">2010-03-24T09:44:00Z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ירושלים</vt:lpwstr>
  </property>
  <property fmtid="{D5CDD505-2E9C-101B-9397-08002B2CF9AE}" pid="3" name="APPELLEE">
    <vt:lpwstr>מאיר רוזנטל;יצחק אוחנה;מאיר רואימי;שרון אפריאט;חיים בן חיים;דוד בן לולו;אהרון גוטסדינר;אברהם טרופ;יוני בן ארי;אליעזר ועקנין</vt:lpwstr>
  </property>
  <property fmtid="{D5CDD505-2E9C-101B-9397-08002B2CF9AE}" pid="4" name="CITY">
    <vt:lpwstr>י-ם</vt:lpwstr>
  </property>
  <property fmtid="{D5CDD505-2E9C-101B-9397-08002B2CF9AE}" pid="5" name="DATE">
    <vt:lpwstr>20100323</vt:lpwstr>
  </property>
  <property fmtid="{D5CDD505-2E9C-101B-9397-08002B2CF9AE}" pid="6" name="DELEMATA">
    <vt:lpwstr/>
  </property>
  <property fmtid="{D5CDD505-2E9C-101B-9397-08002B2CF9AE}" pid="7" name="JUDGE">
    <vt:lpwstr>אמנון כהן</vt:lpwstr>
  </property>
  <property fmtid="{D5CDD505-2E9C-101B-9397-08002B2CF9AE}" pid="8" name="LAWYER">
    <vt:lpwstr>קניטל;רובינשטיין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260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260</vt:lpwstr>
  </property>
  <property fmtid="{D5CDD505-2E9C-101B-9397-08002B2CF9AE}" pid="30" name="PROCYEAR">
    <vt:lpwstr>08</vt:lpwstr>
  </property>
  <property fmtid="{D5CDD505-2E9C-101B-9397-08002B2CF9AE}" pid="31" name="PSAKDIN">
    <vt:lpwstr>גזר-דין</vt:lpwstr>
  </property>
  <property fmtid="{D5CDD505-2E9C-101B-9397-08002B2CF9AE}" pid="32" name="RemarkFileName">
    <vt:lpwstr>mechozi me 08 260 714 htm</vt:lpwstr>
  </property>
  <property fmtid="{D5CDD505-2E9C-101B-9397-08002B2CF9AE}" pid="33" name="TYPE">
    <vt:lpwstr>2</vt:lpwstr>
  </property>
  <property fmtid="{D5CDD505-2E9C-101B-9397-08002B2CF9AE}" pid="34" name="TYPE_ABS_DATE">
    <vt:lpwstr>390020100323</vt:lpwstr>
  </property>
  <property fmtid="{D5CDD505-2E9C-101B-9397-08002B2CF9AE}" pid="35" name="TYPE_N_DATE">
    <vt:lpwstr>39020100323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