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26152-10-09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עראר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26161-10-09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פיסל עראר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ארוא חליחל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פיסל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עראר</w:t>
      </w:r>
      <w:r>
        <w:rPr>
          <w:b w:val="false"/>
          <w:b w:val="false"/>
          <w:bCs w:val="false"/>
          <w:u w:val="none"/>
          <w:rtl w:val="true"/>
        </w:rPr>
        <w:t xml:space="preserve"> הובא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עירקי ממשרד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לג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ולי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1952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/>
        <w:t>1</w:t>
      </w:r>
      <w:r>
        <w:rPr>
          <w:rtl w:val="true"/>
        </w:rPr>
        <w:t xml:space="preserve">. </w:t>
        <w:tab/>
      </w:r>
      <w:bookmarkStart w:id="10" w:name="ABSTRACT_START"/>
      <w:bookmarkEnd w:id="10"/>
      <w:r>
        <w:rPr>
          <w:rtl w:val="true"/>
        </w:rPr>
        <w:t>הנאשם פיסל בן ע</w:t>
      </w:r>
      <w:r>
        <w:rPr>
          <w:rtl w:val="true"/>
        </w:rPr>
        <w:t xml:space="preserve">. </w:t>
      </w:r>
      <w:r>
        <w:rPr>
          <w:rtl w:val="true"/>
        </w:rPr>
        <w:t xml:space="preserve">חאפז עראר 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2.5.51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הודה במיוחס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והורשע ביום </w:t>
      </w:r>
      <w:r>
        <w:rPr/>
        <w:t>26.11.09</w:t>
      </w:r>
      <w:r>
        <w:rPr>
          <w:rtl w:val="true"/>
        </w:rPr>
        <w:t xml:space="preserve"> </w:t>
      </w:r>
      <w:r>
        <w:rPr>
          <w:rtl w:val="true"/>
        </w:rPr>
        <w:t xml:space="preserve">בעבירות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הסעיפים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7">
        <w:r>
          <w:rPr>
            <w:rStyle w:val="Hyperlink"/>
            <w:rtl w:val="true"/>
          </w:rPr>
          <w:t>חנ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כעולה מכתב האישום בתאריך </w:t>
      </w:r>
      <w:r>
        <w:rPr/>
        <w:t>29.10.09</w:t>
      </w:r>
      <w:r>
        <w:rPr>
          <w:rtl w:val="true"/>
        </w:rPr>
        <w:t xml:space="preserve"> </w:t>
      </w:r>
      <w:r>
        <w:rPr>
          <w:rtl w:val="true"/>
        </w:rPr>
        <w:t>בשעת לילה החזיק בחלון חדר השינה שלו בביתו שבג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 xml:space="preserve">וליה  אקדח ברטה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כאשר מספרו מחוק ובו מחסנית תואמת ובה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התביעה בטיעוניה עמדה על חומרת העבירות</w:t>
      </w:r>
      <w:r>
        <w:rPr>
          <w:rtl w:val="true"/>
        </w:rPr>
        <w:t xml:space="preserve">, </w:t>
      </w:r>
      <w:r>
        <w:rPr>
          <w:rtl w:val="true"/>
        </w:rPr>
        <w:t>הציגה פסיקה המדגישה את המסוכנות שבעבירות החזקת נשק</w:t>
      </w:r>
      <w:r>
        <w:rPr>
          <w:rtl w:val="true"/>
        </w:rPr>
        <w:t xml:space="preserve">, </w:t>
      </w:r>
      <w:r>
        <w:rPr>
          <w:rtl w:val="true"/>
        </w:rPr>
        <w:t>מקום בו יש סכסוך חמולות וכן הגישה שני כתבי אישום של שני בניו</w:t>
      </w:r>
      <w:r>
        <w:rPr>
          <w:rtl w:val="true"/>
        </w:rPr>
        <w:t xml:space="preserve">, </w:t>
      </w:r>
      <w:r>
        <w:rPr>
          <w:rtl w:val="true"/>
        </w:rPr>
        <w:t>לאחד מהם מיוחסת עבירת רצח ולשני נשיאת נשק ושימוש בו במקום מגורים</w:t>
      </w:r>
      <w:r>
        <w:rPr>
          <w:rtl w:val="true"/>
        </w:rPr>
        <w:t xml:space="preserve">, </w:t>
      </w:r>
      <w:r>
        <w:rPr>
          <w:rtl w:val="true"/>
        </w:rPr>
        <w:t>כדי ללמד על המסוכנות היתרה שבהחזקת נשק כאשר בני המשפחה מעורבים בפלילים</w:t>
      </w:r>
      <w:r>
        <w:rPr>
          <w:rtl w:val="true"/>
        </w:rPr>
        <w:t xml:space="preserve">, </w:t>
      </w:r>
      <w:r>
        <w:rPr>
          <w:rtl w:val="true"/>
        </w:rPr>
        <w:t>בהחזקת נשק חם ובשימוש 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הודגש כי גם בהודעתו במשטרה טען הנאשם לצורך בהגנה עצמית בשל האיומים כלפיו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הוצג גליון רישום הפלילי</w:t>
      </w:r>
      <w:r>
        <w:rPr>
          <w:rtl w:val="true"/>
        </w:rPr>
        <w:t xml:space="preserve">, </w:t>
      </w:r>
      <w:r>
        <w:rPr>
          <w:rtl w:val="true"/>
        </w:rPr>
        <w:t>ממנו נלמד כי לנאשם עבר פלילי עשיר בעבירות שונות ובינהן</w:t>
      </w:r>
      <w:r>
        <w:rPr>
          <w:rtl w:val="true"/>
        </w:rPr>
        <w:t xml:space="preserve">, </w:t>
      </w:r>
      <w:r>
        <w:rPr>
          <w:rtl w:val="true"/>
        </w:rPr>
        <w:t>היזק לרכוש במזיד</w:t>
      </w:r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>זיוף וקבלת דבר במרמה</w:t>
      </w:r>
      <w:r>
        <w:rPr>
          <w:rtl w:val="true"/>
        </w:rPr>
        <w:t xml:space="preserve">,  </w:t>
      </w:r>
      <w:r>
        <w:rPr>
          <w:rtl w:val="true"/>
        </w:rPr>
        <w:t xml:space="preserve">עבירות על </w:t>
      </w:r>
      <w:hyperlink r:id="rId8">
        <w:r>
          <w:rPr>
            <w:rStyle w:val="Hyperlink"/>
            <w:rtl w:val="true"/>
          </w:rPr>
          <w:t>חוק מס ערך מוסף</w:t>
        </w:r>
      </w:hyperlink>
      <w:r>
        <w:rPr>
          <w:rtl w:val="true"/>
        </w:rPr>
        <w:t xml:space="preserve">, </w:t>
      </w:r>
      <w:r>
        <w:rPr>
          <w:rtl w:val="true"/>
        </w:rPr>
        <w:t>תקיפה הגורמת 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עבירה על </w:t>
      </w:r>
      <w:hyperlink r:id="rId9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עבירה משנת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החזקת נכס החשוד כגנוב</w:t>
      </w:r>
      <w:r>
        <w:rPr>
          <w:rtl w:val="true"/>
        </w:rPr>
        <w:t xml:space="preserve">, </w:t>
      </w:r>
      <w:r>
        <w:rPr>
          <w:rtl w:val="true"/>
        </w:rPr>
        <w:t>תקיפה סתם של קטין ובן זוג</w:t>
      </w:r>
      <w:r>
        <w:rPr>
          <w:rtl w:val="true"/>
        </w:rPr>
        <w:t xml:space="preserve">, </w:t>
      </w:r>
      <w:r>
        <w:rPr>
          <w:rtl w:val="true"/>
        </w:rPr>
        <w:t>החזקת אגרופן או סכין למטרה לא כשרה</w:t>
      </w:r>
      <w:r>
        <w:rPr>
          <w:rtl w:val="true"/>
        </w:rPr>
        <w:t xml:space="preserve">, </w:t>
      </w:r>
      <w:r>
        <w:rPr>
          <w:rtl w:val="true"/>
        </w:rPr>
        <w:t>ונידון בין השאר למאסר בפועל בדרך של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מאסרים 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קנסות והתחייבות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 אלו ועל פי המדרג  שפס</w:t>
      </w:r>
      <w:r>
        <w:rPr>
          <w:rtl w:val="true"/>
        </w:rPr>
        <w:t>"</w:t>
      </w:r>
      <w:r>
        <w:rPr>
          <w:rtl w:val="true"/>
        </w:rPr>
        <w:t>ד אבו מוך טענה התביעה כי המקרה שבפנינו הולם את  החלופה המתייחסת להחזקת נשק כדי לאפשר פעילות פלילית עתידית</w:t>
      </w:r>
      <w:r>
        <w:rPr>
          <w:rtl w:val="true"/>
        </w:rPr>
        <w:t xml:space="preserve">, </w:t>
      </w:r>
      <w:r>
        <w:rPr>
          <w:rtl w:val="true"/>
        </w:rPr>
        <w:t>הציגה פסיקה נוספת ועתרה למאסר לריצוי בפועל ממושך</w:t>
      </w:r>
      <w:r>
        <w:rPr>
          <w:rtl w:val="true"/>
        </w:rPr>
        <w:t xml:space="preserve">, </w:t>
      </w:r>
      <w:r>
        <w:rPr>
          <w:rtl w:val="true"/>
        </w:rPr>
        <w:t>מאסר ע</w:t>
      </w:r>
      <w:r>
        <w:rPr>
          <w:rtl w:val="true"/>
        </w:rPr>
        <w:t>"</w:t>
      </w:r>
      <w:r>
        <w:rPr>
          <w:rtl w:val="true"/>
        </w:rPr>
        <w:t>ת 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עוה</w:t>
      </w:r>
      <w:r>
        <w:rPr>
          <w:rtl w:val="true"/>
        </w:rPr>
        <w:t>"</w:t>
      </w:r>
      <w:r>
        <w:rPr>
          <w:rtl w:val="true"/>
        </w:rPr>
        <w:t>ד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 עמד על ההודייה המיידית</w:t>
      </w:r>
      <w:r>
        <w:rPr>
          <w:rtl w:val="true"/>
        </w:rPr>
        <w:t xml:space="preserve">, </w:t>
      </w:r>
      <w:r>
        <w:rPr>
          <w:rtl w:val="true"/>
        </w:rPr>
        <w:t>לקיחת האחריות</w:t>
      </w:r>
      <w:r>
        <w:rPr>
          <w:rtl w:val="true"/>
        </w:rPr>
        <w:t xml:space="preserve">, </w:t>
      </w:r>
      <w:r>
        <w:rPr>
          <w:rtl w:val="true"/>
        </w:rPr>
        <w:t>ציין שהנאשם לא נתפס כאשר נשא את הנשק וגם לא השתמש בו</w:t>
      </w:r>
      <w:r>
        <w:rPr>
          <w:rtl w:val="true"/>
        </w:rPr>
        <w:t xml:space="preserve">, </w:t>
      </w:r>
      <w:r>
        <w:rPr>
          <w:rtl w:val="true"/>
        </w:rPr>
        <w:t>כמו כן אין עדות לכך שרצה להשתמש וגם לא עבר עבירות פליליות כאלו ואחרות בעת האחרונה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בהתייחסו לפסיקה שהגישה התביעה טען כי זו מתייחסת לקשת רחבה של הענישה המוטלת בנסיבות שונות מאלו שבפנינו</w:t>
      </w:r>
      <w:r>
        <w:rPr>
          <w:rtl w:val="true"/>
        </w:rPr>
        <w:t xml:space="preserve">, </w:t>
      </w:r>
      <w:r>
        <w:rPr>
          <w:rtl w:val="true"/>
        </w:rPr>
        <w:t>הדגיש את נסיבות חייו הקשות של הנאשם</w:t>
      </w:r>
      <w:r>
        <w:rPr>
          <w:rtl w:val="true"/>
        </w:rPr>
        <w:t xml:space="preserve">, </w:t>
      </w:r>
      <w:r>
        <w:rPr>
          <w:rtl w:val="true"/>
        </w:rPr>
        <w:t>אשר נאלץ לגדל ילדיו לבדו</w:t>
      </w:r>
      <w:r>
        <w:rPr>
          <w:rtl w:val="true"/>
        </w:rPr>
        <w:t xml:space="preserve">, </w:t>
      </w:r>
      <w:r>
        <w:rPr>
          <w:rtl w:val="true"/>
        </w:rPr>
        <w:t>את מצב בריאותו הרעוע</w:t>
      </w:r>
      <w:r>
        <w:rPr>
          <w:rtl w:val="true"/>
        </w:rPr>
        <w:t xml:space="preserve">, </w:t>
      </w:r>
      <w:r>
        <w:rPr>
          <w:rtl w:val="true"/>
        </w:rPr>
        <w:t>צינתורים שעבר ולאחרונה אף עבר השתלת סטנט והוא  מטופל במחלקה הקרדיולוגית</w:t>
      </w:r>
      <w:r>
        <w:rPr>
          <w:rtl w:val="true"/>
        </w:rPr>
        <w:t xml:space="preserve">, </w:t>
      </w:r>
      <w:r>
        <w:rPr>
          <w:rtl w:val="true"/>
        </w:rPr>
        <w:t>כתימוכין הגיש מסמכים רפואיים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פי אלו  ביקש מביהמ</w:t>
      </w:r>
      <w:r>
        <w:rPr>
          <w:rtl w:val="true"/>
        </w:rPr>
        <w:t>"</w:t>
      </w:r>
      <w:r>
        <w:rPr>
          <w:rtl w:val="true"/>
        </w:rPr>
        <w:t>ש התחשבות ורחמים ועתר להסתפק בחודשיים ששהה הנאשם במעצר בהדגישו כי הדבר מהווה עונש ראוי ובנוסף עתר לעונש הצופה פני 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 שמעתי את הנאשם שהצר על מעשיו</w:t>
      </w:r>
      <w:r>
        <w:rPr>
          <w:rtl w:val="true"/>
        </w:rPr>
        <w:t xml:space="preserve">, </w:t>
      </w:r>
      <w:r>
        <w:rPr>
          <w:rtl w:val="true"/>
        </w:rPr>
        <w:t>סיפר על היותו אדם חולה וביקש את עזרת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אין צורך להכביר במילים באשר לחומרה שבעבירות החזקת נשק והחובה להרתיע ולהטיל עונשים על כל מי שברשותו נשק המוחזק שלא כחוק </w:t>
      </w:r>
      <w:r>
        <w:rPr>
          <w:rtl w:val="true"/>
        </w:rPr>
        <w:t>,</w:t>
      </w:r>
      <w:r>
        <w:rPr>
          <w:rtl w:val="true"/>
        </w:rPr>
        <w:t>שהרי לעולם אין לדעת מתי ייעשה בו שימוש לאיזה צורך מוחזק ומי עלול להיפגע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שבפני בחר להחזיק נשק ומחסנית ותחמושת בה בנישה שבחלון חדר השינה שבביתו</w:t>
      </w:r>
      <w:r>
        <w:rPr>
          <w:rtl w:val="true"/>
        </w:rPr>
        <w:t xml:space="preserve">, </w:t>
      </w:r>
      <w:r>
        <w:rPr>
          <w:rtl w:val="true"/>
        </w:rPr>
        <w:t>ולא קשה לקבוע</w:t>
      </w:r>
      <w:r>
        <w:rPr>
          <w:rtl w:val="true"/>
        </w:rPr>
        <w:t xml:space="preserve">, </w:t>
      </w:r>
      <w:r>
        <w:rPr>
          <w:rtl w:val="true"/>
        </w:rPr>
        <w:t>על פי התמונה שבפני כי מטרתו יכול שתהא גם לשימוש ולא רק להגנה עצמית</w:t>
      </w:r>
      <w:r>
        <w:rPr>
          <w:rtl w:val="true"/>
        </w:rPr>
        <w:t>.</w:t>
      </w:r>
    </w:p>
    <w:p>
      <w:pPr>
        <w:pStyle w:val="Ruller4"/>
        <w:tabs>
          <w:tab w:val="left" w:pos="720" w:leader="none"/>
        </w:tabs>
        <w:ind w:hanging="720" w:start="1440" w:end="144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השמיענו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רובינשטיין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3361/08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נתנאל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(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 w:val="24"/>
          <w:szCs w:val="24"/>
        </w:rPr>
        <w:t>27.7.08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בקובעו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tabs>
          <w:tab w:val="left" w:pos="720" w:leader="none"/>
        </w:tabs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1440" w:end="144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שבתוך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יושב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ספור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היחס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המחמיר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לנקוט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כלפיהן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הדברי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ברורים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כשמש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המחזיקים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הסוחרים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רוב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וככלל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אינם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עושים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לצרכי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הכרוכות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נועד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לירות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וטבעו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שבשעת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הסובייקטיבי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זדוני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ומרושע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שיהיה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האצבע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ההדק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מתחזקים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כמובן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כשהמדובר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בבעלי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שמקובל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לומר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ראית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בתיאטרון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ראשונה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אקדח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צפה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שבמערכה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הבאה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שאחריה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.."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Ruller4"/>
        <w:tabs>
          <w:tab w:val="left" w:pos="720" w:leader="none"/>
        </w:tabs>
        <w:ind w:hanging="720" w:start="720" w:end="72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5220/09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>-"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נבו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הוצאה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ולהטיל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ונאמר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התייחסות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</w:p>
    <w:p>
      <w:pPr>
        <w:pStyle w:val="Ruller4"/>
        <w:tabs>
          <w:tab w:val="left" w:pos="720" w:leader="none"/>
        </w:tabs>
        <w:ind w:hanging="720" w:start="720" w:end="72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800" w:start="80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2718/04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דאחל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>'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ובראן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כלהלן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יוער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הטמונה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החמורה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מצדיקה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הטלת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שזו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לשקול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נכבד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לאינטרס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ולצורך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מלבצע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הנסיבות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5921/08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רג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'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>'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ובראן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מורשה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להוביל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להסלמה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ולתוצאות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אירוע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מעורב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נושא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וזאת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שהנשק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מוחזק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למטרות</w:t>
      </w:r>
      <w:r>
        <w:rPr>
          <w:rFonts w:cs="David"/>
          <w:b/>
          <w:bCs/>
          <w:sz w:val="24"/>
          <w:szCs w:val="24"/>
          <w:rtl w:val="true"/>
        </w:rPr>
        <w:t>, 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cs="David"/>
          <w:b/>
          <w:bCs/>
          <w:sz w:val="24"/>
          <w:szCs w:val="24"/>
          <w:rtl w:val="true"/>
        </w:rPr>
        <w:t>'".</w:t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הללו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שמונה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נזכור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שלצדה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השופטת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3300/06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אבוסנינה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לטעמי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ליתן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לסיכון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הגלום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שנשק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מוחזק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בעליו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מוסדר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לסיכון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שיתפתה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ולו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ברגעי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ופחד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Ruller4"/>
        <w:tabs>
          <w:tab w:val="left" w:pos="720" w:leader="none"/>
        </w:tabs>
        <w:ind w:hanging="720" w:start="720" w:end="72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עשיר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לשרש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התופעה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ולהרתיע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  <w:tab w:val="left" w:pos="8504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העבירות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שקלתי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הודייתו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החסכון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שיפוטי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ומצבו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הבריאותי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והמשפחתי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"/>
        <w:ind w:hanging="720" w:start="720" w:end="72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ab/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מוצאת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להלן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מאסר 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חודשים מיום  מעצרו </w:t>
      </w:r>
      <w:r>
        <w:rPr/>
        <w:t>29.10.09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לא יישא אלא 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תום ריצוי עונשו יחזור ויעבור על העבירות בהן הורשע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קנס בגובה </w:t>
      </w:r>
      <w:r>
        <w:rPr/>
        <w:t>5000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  <w:r>
        <w:rPr>
          <w:rtl w:val="true"/>
        </w:rPr>
        <w:t>לבקשת הסניגור</w:t>
      </w:r>
      <w:r>
        <w:rPr>
          <w:rtl w:val="true"/>
        </w:rPr>
        <w:t xml:space="preserve">,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שיעורים חודשיים שווים ורצופים החל מיום </w:t>
      </w:r>
      <w:r>
        <w:rPr/>
        <w:t>28.1.10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במידה והנאשם לא יעמוד באחד מן המועדים כסדרו</w:t>
      </w:r>
      <w:r>
        <w:rPr>
          <w:rtl w:val="true"/>
        </w:rPr>
        <w:t xml:space="preserve">, </w:t>
      </w:r>
      <w:r>
        <w:rPr>
          <w:rtl w:val="true"/>
        </w:rPr>
        <w:t>יתרת הקנס במלואה תעמוד לפרעון</w:t>
      </w:r>
      <w:r>
        <w:rPr>
          <w:rtl w:val="true"/>
        </w:rPr>
        <w:t xml:space="preserve">, </w:t>
      </w:r>
      <w:r>
        <w:rPr>
          <w:rtl w:val="true"/>
        </w:rPr>
        <w:t>ומיד יש להנפיק אסמכתא לכליאה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אקדח ותחמושת יחולטו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b/>
          <w:b/>
          <w:bCs/>
          <w:u w:val="double"/>
          <w:rtl w:val="true"/>
        </w:rPr>
        <w:t xml:space="preserve">זכות ערעור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 לביהמ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>ש המחוזי</w:t>
      </w:r>
      <w:r>
        <w:rPr>
          <w:b/>
          <w:bCs/>
          <w:u w:val="double"/>
          <w:rtl w:val="true"/>
        </w:rPr>
        <w:t>.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/Users/liorb/Downloads/study2025-p2/SH-09-10-26152-50.doc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26152-10-09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פיסל עראר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eastAsia="Times New Roman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 Unicode MS" w:hAnsi="Arial TUR;Arial Unicode MS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2813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case/5891605" TargetMode="External"/><Relationship Id="rId11" Type="http://schemas.openxmlformats.org/officeDocument/2006/relationships/hyperlink" Target="http://www.nevo.co.il/case/6000182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40482" TargetMode="External"/><Relationship Id="rId14" Type="http://schemas.openxmlformats.org/officeDocument/2006/relationships/hyperlink" Target="http://www.nevo.co.il/case/588766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2016-08-08T14:38:00Z</dcterms:created>
  <dc:creator> </dc:creator>
  <dc:description/>
  <cp:keywords/>
  <dc:language>en-IL</dc:language>
  <cp:lastModifiedBy>hofit</cp:lastModifiedBy>
  <dcterms:modified xsi:type="dcterms:W3CDTF">2016-08-08T14:38:00Z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פיסל עראר</vt:lpwstr>
  </property>
  <property fmtid="{D5CDD505-2E9C-101B-9397-08002B2CF9AE}" pid="4" name="CASESLISTTMP1">
    <vt:lpwstr>5891605;6000182;5852404;6040482;5887664</vt:lpwstr>
  </property>
  <property fmtid="{D5CDD505-2E9C-101B-9397-08002B2CF9AE}" pid="5" name="CITY">
    <vt:lpwstr>פ"ת</vt:lpwstr>
  </property>
  <property fmtid="{D5CDD505-2E9C-101B-9397-08002B2CF9AE}" pid="6" name="DATE">
    <vt:lpwstr>20100113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ליה לבאון</vt:lpwstr>
  </property>
  <property fmtid="{D5CDD505-2E9C-101B-9397-08002B2CF9AE}" pid="10" name="LAWLISTTMP1">
    <vt:lpwstr>70301/144.a</vt:lpwstr>
  </property>
  <property fmtid="{D5CDD505-2E9C-101B-9397-08002B2CF9AE}" pid="11" name="LAWLISTTMP2">
    <vt:lpwstr>72813</vt:lpwstr>
  </property>
  <property fmtid="{D5CDD505-2E9C-101B-9397-08002B2CF9AE}" pid="12" name="LAWLISTTMP3">
    <vt:lpwstr>90721</vt:lpwstr>
  </property>
  <property fmtid="{D5CDD505-2E9C-101B-9397-08002B2CF9AE}" pid="13" name="LAWYER">
    <vt:lpwstr>ארוא חליחל;עירקי 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26152</vt:lpwstr>
  </property>
  <property fmtid="{D5CDD505-2E9C-101B-9397-08002B2CF9AE}" pid="27" name="NEWPARTB">
    <vt:lpwstr>10</vt:lpwstr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shalom sh 09 10 26152 50 htm</vt:lpwstr>
  </property>
  <property fmtid="{D5CDD505-2E9C-101B-9397-08002B2CF9AE}" pid="38" name="TYPE">
    <vt:lpwstr>3</vt:lpwstr>
  </property>
  <property fmtid="{D5CDD505-2E9C-101B-9397-08002B2CF9AE}" pid="39" name="TYPE_ABS_DATE">
    <vt:lpwstr>380020100113</vt:lpwstr>
  </property>
  <property fmtid="{D5CDD505-2E9C-101B-9397-08002B2CF9AE}" pid="40" name="TYPE_N_DATE">
    <vt:lpwstr>38020100113</vt:lpwstr>
  </property>
  <property fmtid="{D5CDD505-2E9C-101B-9397-08002B2CF9AE}" pid="41" name="VOLUME">
    <vt:lpwstr/>
  </property>
  <property fmtid="{D5CDD505-2E9C-101B-9397-08002B2CF9AE}" pid="42" name="WORDNUMPAGES">
    <vt:lpwstr>4</vt:lpwstr>
  </property>
</Properties>
</file>