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188"/>
        <w:gridCol w:w="4424"/>
        <w:gridCol w:w="108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בטבריה</w:t>
            </w:r>
          </w:p>
        </w:tc>
      </w:tr>
      <w:tr>
        <w:trPr>
          <w:trHeight w:val="360" w:hRule="atLeast"/>
        </w:trPr>
        <w:tc>
          <w:tcPr>
            <w:tcW w:w="418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 יריב נבון</w:t>
            </w:r>
          </w:p>
        </w:tc>
        <w:tc>
          <w:tcPr>
            <w:tcW w:w="4424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tl w:val="true"/>
              </w:rPr>
              <w:t xml:space="preserve"> </w:t>
            </w:r>
            <w:r>
              <w:rPr/>
              <w:t>26182-10-14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 ישראל 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אבו חנין ואח</w:t>
            </w:r>
            <w:r>
              <w:rPr>
                <w:rtl w:val="true"/>
              </w:rPr>
              <w:t>'</w:t>
            </w:r>
          </w:p>
        </w:tc>
        <w:tc>
          <w:tcPr>
            <w:tcW w:w="10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>
          <w:trHeight w:val="360" w:hRule="atLeast"/>
        </w:trPr>
        <w:tc>
          <w:tcPr>
            <w:tcW w:w="4188" w:type="dxa"/>
            <w:tcBorders/>
          </w:tcPr>
          <w:p>
            <w:pPr>
              <w:pStyle w:val="Normal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424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פברואר </w:t>
            </w:r>
            <w:r>
              <w:rPr>
                <w:b/>
                <w:bCs/>
              </w:rPr>
              <w:t>2016</w:t>
            </w:r>
          </w:p>
        </w:tc>
        <w:tc>
          <w:tcPr>
            <w:tcW w:w="10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83"/>
        <w:gridCol w:w="1046"/>
        <w:gridCol w:w="3575"/>
      </w:tblGrid>
      <w:tr>
        <w:trPr>
          <w:trHeight w:val="337" w:hRule="atLeast"/>
        </w:trPr>
        <w:tc>
          <w:tcPr>
            <w:tcW w:w="388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1046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7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eastAsia="Calibri"/>
          <w:sz w:val="6"/>
          <w:szCs w:val="6"/>
        </w:rPr>
      </w:pPr>
      <w:r>
        <w:rPr>
          <w:rFonts w:eastAsia="Calibri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80"/>
        <w:gridCol w:w="4122"/>
      </w:tblGrid>
      <w:tr>
        <w:trPr/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2" w:type="dxa"/>
            <w:tcBorders/>
          </w:tcPr>
          <w:p>
            <w:pPr>
              <w:pStyle w:val="Normal"/>
              <w:ind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מאשימה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עצאם אבו חנין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אשרף אבו חנין</w:t>
            </w:r>
          </w:p>
        </w:tc>
        <w:tc>
          <w:tcPr>
            <w:tcW w:w="412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eastAsia="Calibri"/>
          <w:sz w:val="6"/>
          <w:szCs w:val="6"/>
        </w:rPr>
      </w:pPr>
      <w:r>
        <w:rPr>
          <w:rFonts w:eastAsia="Calibri"/>
          <w:sz w:val="6"/>
          <w:szCs w:val="6"/>
          <w:rtl w:val="true"/>
        </w:rPr>
        <w:t>&lt;</w:t>
      </w:r>
      <w:r>
        <w:rPr>
          <w:rFonts w:eastAsia="Calibri"/>
          <w:sz w:val="6"/>
          <w:szCs w:val="6"/>
        </w:rPr>
        <w:t>#2#</w:t>
      </w:r>
      <w:r>
        <w:rPr>
          <w:rFonts w:eastAsia="Calibri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נוח רחאל</w:t>
      </w:r>
      <w:r>
        <w:rPr>
          <w:u w:val="none"/>
          <w:rtl w:val="true"/>
        </w:rPr>
        <w:br/>
      </w:r>
      <w:r>
        <w:rPr>
          <w:u w:val="none"/>
          <w:rtl w:val="true"/>
        </w:rPr>
        <w:t>הנאשמים וב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סעיד חדאד </w:t>
      </w:r>
    </w:p>
    <w:p>
      <w:pPr>
        <w:pStyle w:val="Normal"/>
        <w:spacing w:lineRule="auto" w:line="360"/>
        <w:ind w:end="0"/>
        <w:jc w:val="both"/>
        <w:rPr>
          <w:rFonts w:eastAsia="Times New Roman"/>
          <w:sz w:val="6"/>
          <w:szCs w:val="6"/>
        </w:rPr>
      </w:pPr>
      <w:r>
        <w:rPr>
          <w:rFonts w:eastAsia="Times New Roman"/>
          <w:sz w:val="6"/>
          <w:szCs w:val="6"/>
          <w:rtl w:val="true"/>
        </w:rPr>
        <w:t>&lt;</w:t>
      </w:r>
      <w:r>
        <w:rPr>
          <w:rFonts w:eastAsia="Times New Roman"/>
          <w:sz w:val="6"/>
          <w:szCs w:val="6"/>
        </w:rPr>
        <w:t>#3#</w:t>
      </w:r>
      <w:r>
        <w:rPr>
          <w:rFonts w:eastAsia="Times New Roman"/>
          <w:sz w:val="6"/>
          <w:szCs w:val="6"/>
          <w:rtl w:val="true"/>
        </w:rPr>
        <w:t>&gt;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6"/>
          <w:szCs w:val="6"/>
        </w:rPr>
      </w:pPr>
      <w:r>
        <w:rPr>
          <w:rFonts w:eastAsia="Times New Roman"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ascii="FrankRuehl" w:hAnsi="FrankRuehl" w:eastAsia="Times New Roman" w:cs="FrankRuehl"/>
          <w:rtl w:val="true"/>
        </w:rPr>
        <w:t>חקיקה שאוזכרה</w:t>
      </w:r>
      <w:r>
        <w:rPr>
          <w:rFonts w:eastAsia="Times New Roman"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hyperlink r:id="rId2"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1977</w:t>
        </w:r>
      </w:hyperlink>
      <w:r>
        <w:rPr>
          <w:rFonts w:eastAsia="Times New Roman" w:cs="FrankRuehl" w:ascii="FrankRuehl" w:hAnsi="FrankRuehl"/>
          <w:rtl w:val="true"/>
        </w:rPr>
        <w:t xml:space="preserve">: </w:t>
      </w:r>
      <w:r>
        <w:rPr>
          <w:rFonts w:ascii="FrankRuehl" w:hAnsi="FrankRuehl" w:eastAsia="Times New Roman" w:cs="FrankRuehl"/>
          <w:rtl w:val="true"/>
        </w:rPr>
        <w:t>סע</w:t>
      </w:r>
      <w:r>
        <w:rPr>
          <w:rFonts w:eastAsia="Times New Roman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144</w:t>
        </w:r>
      </w:hyperlink>
      <w:r>
        <w:rPr>
          <w:rFonts w:eastAsia="Times New Roman"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eastAsia="Times New Roman"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LastJudge"/>
      <w:bookmarkStart w:id="6" w:name="PsakDin"/>
      <w:bookmarkStart w:id="7" w:name="LawTable_End"/>
      <w:bookmarkEnd w:id="5"/>
      <w:bookmarkEnd w:id="6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eastAsia="Times New Roman" w:cs="Arial"/>
          <w:b/>
          <w:bCs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כתב האישום המתוקן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:</w:t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20.10.2014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אישום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גובש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eastAsia="Times New Roman" w:cs="David"/>
          <w:sz w:val="24"/>
          <w:szCs w:val="24"/>
          <w:u w:val="single"/>
        </w:rPr>
      </w:pPr>
      <w:r>
        <w:rPr>
          <w:rFonts w:eastAsia="Times New Roman" w:cs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bookmarkStart w:id="10" w:name="ABSTRACT_START"/>
      <w:bookmarkEnd w:id="10"/>
      <w:r>
        <w:rPr>
          <w:rFonts w:eastAsia="Times New Roman" w:cs="David"/>
          <w:sz w:val="24"/>
          <w:sz w:val="24"/>
          <w:szCs w:val="24"/>
          <w:u w:val="single"/>
          <w:rtl w:val="true"/>
        </w:rPr>
        <w:t>בישיבה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שהתקיימה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Cs w:val="24"/>
          <w:u w:val="single"/>
        </w:rPr>
        <w:t>26.4.2015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Cs w:val="24"/>
          <w:u w:val="single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רכישת</w:t>
      </w:r>
      <w:r>
        <w:rPr>
          <w:rFonts w:eastAsia="Times New Roman" w:cs="David"/>
          <w:b/>
          <w:bCs/>
          <w:sz w:val="24"/>
          <w:szCs w:val="24"/>
          <w:rtl w:val="true"/>
        </w:rPr>
        <w:t>/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חלק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תחמושת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7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סיפא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hyperlink r:id="rId8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תשל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1977</w:t>
      </w:r>
      <w:r>
        <w:rPr>
          <w:rFonts w:eastAsia="Times New Roman" w:cs="David"/>
          <w:sz w:val="24"/>
          <w:szCs w:val="24"/>
          <w:rtl w:val="true"/>
        </w:rPr>
        <w:t xml:space="preserve"> (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>: 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rFonts w:eastAsia="Times New Roman" w:cs="David"/>
          <w:sz w:val="24"/>
          <w:szCs w:val="24"/>
          <w:rtl w:val="true"/>
        </w:rPr>
        <w:t xml:space="preserve">"). </w:t>
      </w:r>
      <w:r>
        <w:rPr>
          <w:rFonts w:eastAsia="Times New Roman" w:cs="David"/>
          <w:sz w:val="24"/>
          <w:sz w:val="24"/>
          <w:szCs w:val="24"/>
          <w:rtl w:val="true"/>
        </w:rPr>
        <w:t>מעובדות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בתאריך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5.2.2014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חיפוש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מגוריו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עילבון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לנשק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r>
        <w:rPr>
          <w:rFonts w:eastAsia="Times New Roman" w:cs="David"/>
          <w:sz w:val="24"/>
          <w:sz w:val="24"/>
          <w:szCs w:val="24"/>
          <w:rtl w:val="true"/>
        </w:rPr>
        <w:t>דבק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חבלה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גליל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Cs w:val="24"/>
        </w:rPr>
        <w:t>9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7.62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בשרשרת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Cs w:val="24"/>
        </w:rPr>
        <w:t>357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7.62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Cs w:val="24"/>
        </w:rPr>
        <w:t>484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5.56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בתפזורת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Cs w:val="24"/>
        </w:rPr>
        <w:t>230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5.56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בשרשרת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Cs w:val="24"/>
        </w:rPr>
        <w:t>12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מחסניות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M16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29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כדורים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Cs w:val="24"/>
        </w:rPr>
        <w:t>12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מחסניות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נוספות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M16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30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כדורים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Cs w:val="24"/>
        </w:rPr>
        <w:t>26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מחסניות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ריקות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M16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הפריטים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הללו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נלקחו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הצבאי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הוחזרו</w:t>
      </w:r>
      <w:r>
        <w:rPr>
          <w:rFonts w:eastAsia="Times New Roman" w:cs="David"/>
          <w:sz w:val="24"/>
          <w:szCs w:val="24"/>
          <w:rtl w:val="true"/>
        </w:rPr>
        <w:t>.</w:t>
      </w:r>
      <w:bookmarkStart w:id="11" w:name="ABSTRACT_END"/>
      <w:bookmarkEnd w:id="11"/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3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בישיבה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שהתקיימה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Cs w:val="24"/>
          <w:u w:val="single"/>
        </w:rPr>
        <w:t>10.11.2015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Cs w:val="24"/>
          <w:u w:val="single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רכישת</w:t>
      </w:r>
      <w:r>
        <w:rPr>
          <w:rFonts w:eastAsia="Times New Roman" w:cs="David"/>
          <w:b/>
          <w:bCs/>
          <w:sz w:val="24"/>
          <w:szCs w:val="24"/>
          <w:rtl w:val="true"/>
        </w:rPr>
        <w:t>/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חלק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תחמושת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9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סיפא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hyperlink r:id="rId10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מעובדות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בתאריך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5.2.2014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חיפוש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מגוריו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עילבון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כדין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r>
        <w:rPr>
          <w:rFonts w:eastAsia="Times New Roman" w:cs="David"/>
          <w:sz w:val="24"/>
          <w:szCs w:val="24"/>
        </w:rPr>
        <w:t>133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צייד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עוזי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Cs w:val="24"/>
        </w:rPr>
        <w:t>52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9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Cs w:val="24"/>
        </w:rPr>
        <w:t>413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0.22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ארוך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Cs w:val="24"/>
        </w:rPr>
        <w:t>117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0.22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קצר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 w:val="24"/>
          <w:szCs w:val="24"/>
          <w:rtl w:val="true"/>
        </w:rPr>
        <w:t>גלילי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הודף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הודף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155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המכיל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אבק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שריפה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עשן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מתחמושת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4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סוכם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הטיעונים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תעתור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ואילו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תנאי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סוכם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רשאית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טיעוניה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להציג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ראיות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5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בעניינם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הוגשו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מטעם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השירות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הוגשה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מטעם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התייחסה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לשאלת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הרשעתו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בדין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ראיות וטיעונים לעונש מטעם המאשימה</w:t>
      </w:r>
      <w:r>
        <w:rPr>
          <w:rFonts w:eastAsia="Times New Roman"/>
          <w:rtl w:val="true"/>
        </w:rPr>
        <w:t>:</w:t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6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לעיוני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גיליון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הרשעותיו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הקודמות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תמונות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המתעדות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שנתפסה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7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לטענת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ברישיון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עסקינן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נכבדה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ומגוונת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כדין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שמא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דרכה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לגורמים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עבריינים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כבד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לכן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לשיטת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המאשימה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ההרתעה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מחייבים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ראיות וטיעונים לעונש מטעם ב</w:t>
      </w:r>
      <w:r>
        <w:rPr>
          <w:rFonts w:eastAsia="Times New Roman"/>
          <w:b/>
          <w:bCs/>
          <w:u w:val="single"/>
          <w:rtl w:val="true"/>
        </w:rPr>
        <w:t>"</w:t>
      </w:r>
      <w:r>
        <w:rPr>
          <w:rFonts w:eastAsia="Times New Roman"/>
          <w:b/>
          <w:b/>
          <w:bCs/>
          <w:u w:val="single"/>
          <w:rtl w:val="true"/>
        </w:rPr>
        <w:t>כ הנאשמים</w:t>
      </w:r>
      <w:r>
        <w:rPr>
          <w:rFonts w:eastAsia="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8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טען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בבואנו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9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לדבריו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פסולה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מסוימות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לנזקים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שונים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זאת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ההלכה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שנקבעה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</w:t>
      </w:r>
      <w:hyperlink r:id="rId11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625/82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מדרג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בנוגע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נשק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במדרג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עונשם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יהא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הנמוך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לדבריו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שלפנינו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החזיקו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ממושכת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שימוש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גרמה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הועברה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אחרים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נשמרה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בביתם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10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Cs w:val="24"/>
          <w:u w:val="single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–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במערכת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הביטחון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כאיש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ברישיון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ירייה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לצרכי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צייד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אימונים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בקליעה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עצמית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2000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הפקיד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הירייה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הללו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במשטרה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והאביזרים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שנתפסו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אצלו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למעט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ההודף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קשורים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הירייה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כתמיכה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לטענתו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לעיוני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העתק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מרישיונות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הירייה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אישור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1998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ביטול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הרישיונות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מכתבים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1999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להפקיד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הירייה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לדבריו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ברשותו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בכמויות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המותרות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ברשותו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רישיון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תוקף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החזיר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שפג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תוקף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רישיונות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שברשותו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ההודף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מטנקים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צבאיים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הוצבו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בשטח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אדמה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שחכר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לדבריו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עדכן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נטילת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משמעותי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לכשעצמו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ונדרש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מסוים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להפעלתו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11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הוסיף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בבוידם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גלוי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ונגיש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נשכחה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ממנו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חטאו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מסתכם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למשטרה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לדבריו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8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מ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6.3.16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לחנינה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נשיא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תידחה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לדבריו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עיכוב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מצבה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הרפואי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חולת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סרטן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מצבה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החמיר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12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Cs w:val="24"/>
          <w:u w:val="single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–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לדברי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הסנגור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בחקירתו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בנפרד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לדבריו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מהפריטים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שנתפסו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אצלו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מקולקלים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שימוש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לדבריו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בצבא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מלחמת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לבנון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השנייה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ליחידה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בקרב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נהוג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בשעתו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שרשראות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כמזכרת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שנפל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הטראומטיים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בשירותו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הצבאי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כנכה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הביטחון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כתמיכה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לטענותיו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לעיוני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אישור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נכה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בנוגע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למצבו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הנפשי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ומסמכים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מאגף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לעבודות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מצבו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הנפשי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13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בתכלית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למטרות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עברייניות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הודאת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והחיסכון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שיפוטי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מחייבים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בעונשם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14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האמור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בתחתית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האמור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לביטול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הרשעתו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ולחייבו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צ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הרגשתו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ולחזקו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השינוי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לאחרונה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15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Cs w:val="24"/>
          <w:u w:val="single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שנתפסה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להחזיר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החזיר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הנשק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16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Cs w:val="24"/>
          <w:u w:val="single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שנתפסה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כמזכרת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מהחיילים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שנהרגו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האמין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מוכתמת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החיילים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שנהרגו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להשתמש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הקדיש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ולמדינה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הפריטים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כמזכרת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אסור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מתנצל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כך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/>
          <w:bCs/>
          <w:u w:val="single"/>
          <w:rtl w:val="true"/>
        </w:rPr>
        <w:t>חוות דעת הממונה על עבודות השירות</w:t>
      </w:r>
      <w:r>
        <w:rPr>
          <w:rFonts w:eastAsia="Times New Roman"/>
          <w:b/>
          <w:bCs/>
          <w:u w:val="single"/>
          <w:rtl w:val="true"/>
        </w:rPr>
        <w:t>:</w:t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17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במגבלות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מסוימות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הדעת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18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הרפואיות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והפסיכיאטריות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לביצוען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/>
          <w:bCs/>
          <w:u w:val="single"/>
          <w:rtl w:val="true"/>
        </w:rPr>
        <w:t xml:space="preserve">תסקיר שירות המבחן בעניינו של נאשם </w:t>
      </w:r>
      <w:r>
        <w:rPr>
          <w:rFonts w:eastAsia="Times New Roman"/>
          <w:b/>
          <w:bCs/>
          <w:u w:val="single"/>
        </w:rPr>
        <w:t>2</w:t>
      </w:r>
      <w:r>
        <w:rPr>
          <w:rFonts w:eastAsia="Times New Roman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19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מתסקיר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29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נשוי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טרי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צבאי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בחטיבת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גולני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לדבריו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הצבאי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נפשית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ואובחן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שלוקה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PTSD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כנכה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בדרגה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38%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הביטחון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שחרורו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7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מתפקוד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מסודרת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להתחיל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תעסוקתי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הביטחון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20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ביצועה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מאפיינת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התנהלותו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כלל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פלילי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מכיר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ומבטא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נכונות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לתועלת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הציבור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להישנות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התנהגות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בעתיד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נמוך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האמור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קונקרטית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להימנע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מהרשעת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ראשונה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ויחידה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להימנע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בעתידו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ובדימוי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העצמי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חינוכית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220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צ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לתוכנית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שתוגש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/>
          <w:bCs/>
          <w:u w:val="single"/>
          <w:rtl w:val="true"/>
        </w:rPr>
        <w:t>דיון והכרעה</w:t>
      </w:r>
      <w:r>
        <w:rPr>
          <w:rFonts w:eastAsia="Times New Roman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21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12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</w:t>
      </w:r>
      <w:hyperlink r:id="rId13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לקבוע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בהתאם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לעקרון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ההלימה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התחשבות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החברתי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שנפגע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במידת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הפגיעה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הקשורות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ובמדיניות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הנהוגה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</w:rPr>
        <w:t>22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הערכים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החברתיים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הנפגעים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ותחמושת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עניינם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בהגנה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סדרי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חברה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ומשטר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תקינים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שנועדו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להבטיח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תחושת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הביטחון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בהגנה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מפני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מבוקר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בחלקי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הנשק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יצוין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בהחזקת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חלקי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גלום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סיכון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נוכח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החשש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מפני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השימוש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המחזיק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עצמו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נוכח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החשש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מגלגולם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חלקי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לידיים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עברייניות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לאומניות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לנוכח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החשש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תחמושת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המוחזקת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אמצעי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פיקוח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והגנה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מתאימים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להתפוצץ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ולגרום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לנזק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tl w:val="true"/>
        </w:rPr>
        <w:t>בהקשר זה ראוי להפנות לדברי בית המשפט העליון ב</w:t>
      </w:r>
      <w:hyperlink r:id="rId1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>מיכאל אדרי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2007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3416</w:t>
      </w:r>
      <w:r>
        <w:rPr>
          <w:rtl w:val="true"/>
        </w:rPr>
        <w:t>:</w:t>
      </w:r>
    </w:p>
    <w:p>
      <w:pPr>
        <w:pStyle w:val="Normal"/>
        <w:spacing w:lineRule="auto" w:line="360"/>
        <w:ind w:start="1417" w:end="141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ניסיון השנים האחרונות מלמד שנשק המוחזק שלא כדין מוצא את דרכו לעיתים לידיים עויינות ולעיתים נעשה בו שימוש למטרות 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ואלה גרמו לא אחת לאובדן חיי אדם ולפגיעה בחפים מפשע שכל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נבע מכך שהם נקלעו בדרך מקרה לזירת הפשע</w:t>
      </w:r>
      <w:r>
        <w:rPr>
          <w:b/>
          <w:bCs/>
          <w:rtl w:val="true"/>
        </w:rPr>
        <w:t xml:space="preserve">...." </w:t>
      </w:r>
    </w:p>
    <w:p>
      <w:pPr>
        <w:pStyle w:val="Normal"/>
        <w:spacing w:lineRule="auto" w:line="360"/>
        <w:ind w:start="1417" w:end="141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</w:rPr>
        <w:t>23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</w:t>
      </w:r>
      <w:hyperlink r:id="rId15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625/82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מוך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, 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) (</w:t>
      </w:r>
      <w:r>
        <w:rPr>
          <w:rFonts w:eastAsia="Times New Roman" w:cs="David" w:ascii="Times New Roman" w:hAnsi="Times New Roman"/>
          <w:sz w:val="24"/>
          <w:szCs w:val="24"/>
        </w:rPr>
        <w:t>16.8.1982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סיווג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למיניהן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לקטגוריות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שונות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מדרג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החומרה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</w:tabs>
        <w:autoSpaceDE w:val="false"/>
        <w:spacing w:lineRule="auto" w:line="360" w:before="50" w:after="50"/>
        <w:ind w:start="1417" w:end="1417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אנסה לסווג את העבירות של החזקת נשק שלא כדין לקטיגוריות הבולטות שביניהן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אם כי ער אני לכך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שלא ניתן לכלול את כל האפשרויות במסגרת סיווג כזה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אלך מהכבד אל הקל מבחינת חומרתן של העבירות</w:t>
      </w:r>
      <w:r>
        <w:rPr>
          <w:rFonts w:eastAsia="Times New Roman" w:cs="Times New Roman" w:ascii="Times New Roman" w:hAnsi="Times New Roman"/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</w:tabs>
        <w:autoSpaceDE w:val="false"/>
        <w:spacing w:lineRule="auto" w:line="360" w:before="50" w:after="50"/>
        <w:ind w:start="1417" w:end="1417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א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החזקת הנשק לשם ביצוע מעשים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המיועדים לפגוע בביטחון המדינה או בביטחון הציבור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</w:tabs>
        <w:autoSpaceDE w:val="false"/>
        <w:spacing w:lineRule="auto" w:line="360" w:before="50" w:after="50"/>
        <w:ind w:start="1417" w:end="1417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ב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החזקת הנשק לשם ביצוע עבירה פלילית ספציפית כגון רצח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שוד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התפרצות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תקיפה וכו</w:t>
      </w:r>
      <w:r>
        <w:rPr>
          <w:rFonts w:eastAsia="Times New Roman" w:cs="Times New Roman" w:ascii="Times New Roman" w:hAnsi="Times New Roman"/>
          <w:b/>
          <w:bCs/>
          <w:rtl w:val="true"/>
        </w:rPr>
        <w:t>'.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</w:tabs>
        <w:autoSpaceDE w:val="false"/>
        <w:spacing w:lineRule="auto" w:line="360" w:before="50" w:after="50"/>
        <w:ind w:start="1417" w:end="1417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ג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החזקת הנשק 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לעת מצוא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"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כדי לאפשר פעילות פלילית אפשרית בעתיד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</w:tabs>
        <w:autoSpaceDE w:val="false"/>
        <w:spacing w:lineRule="auto" w:line="360" w:before="50" w:after="50"/>
        <w:ind w:start="1417" w:end="1417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ד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צבירת נשק על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ידי קבוצה פוליטית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עדתית או אידיאולוגית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במטרה לחזק בדרך זו את כוחה כנגד קבוצות יריבות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</w:tabs>
        <w:autoSpaceDE w:val="false"/>
        <w:spacing w:lineRule="auto" w:line="360" w:before="50" w:after="50"/>
        <w:ind w:start="1417" w:end="1417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ה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החזקת הנשק לצורך הגנה עצמית או לצורך הגנה על הציבור</w:t>
      </w:r>
      <w:r>
        <w:rPr>
          <w:rFonts w:eastAsia="Times New Roman" w:cs="Times New Roman" w:ascii="Times New Roman" w:hAnsi="Times New Roman"/>
          <w:b/>
          <w:bCs/>
          <w:rtl w:val="true"/>
        </w:rPr>
        <w:t>,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המשפחה או ה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חמולה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",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אליהם הנאשם משתייך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</w:tabs>
        <w:autoSpaceDE w:val="false"/>
        <w:spacing w:lineRule="auto" w:line="360" w:before="50" w:after="50"/>
        <w:ind w:start="1417" w:end="1417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  <w:tab/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החזקת כלי הנשק לצורך ספורט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ציד או שעשוע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</w:tabs>
        <w:autoSpaceDE w:val="false"/>
        <w:spacing w:lineRule="auto" w:line="360" w:before="50" w:after="50"/>
        <w:ind w:start="1417" w:end="1417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ז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החזקת כלי נשק על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ידי הנאשם בתור מזכרת או כאספן של כלים כאלה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</w:tabs>
        <w:autoSpaceDE w:val="false"/>
        <w:spacing w:lineRule="auto" w:line="360" w:before="50" w:after="50"/>
        <w:ind w:start="1417" w:end="1417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ח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החזקת כלי הנשק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שפג תוקף רישיונו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והנאשם נמנע מלחדש את הרישיון בעתו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</w:tabs>
        <w:autoSpaceDE w:val="false"/>
        <w:spacing w:lineRule="auto" w:line="360" w:before="50" w:after="50"/>
        <w:ind w:start="1417" w:end="1417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אמנם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לא ניתן לקבוע מסמרות בנדון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אך נראה לי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כי אפשר לקבוע בתור קו מנחה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שהעבירות המבוצעות בנסיבות המנויות בסוגים א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ד לעיל מגיעות בחומרתן לדרגה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שיש בה כדי להצדיק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במקרים המתאימים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מתן צו מעצר עד תום ההליכים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מאידך גיסא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לא הייתי רואה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בדרך כלל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מקום למתן צו כזה במקרים המנויים בסוגים ה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ח דלעיל</w:t>
      </w:r>
      <w:r>
        <w:rPr>
          <w:rFonts w:eastAsia="Times New Roman" w:cs="Times New Roman" w:ascii="Times New Roman" w:hAnsi="Times New Roman"/>
          <w:b/>
          <w:bCs/>
          <w:rtl w:val="true"/>
        </w:rPr>
        <w:t>."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</w:rPr>
        <w:t>24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אומנם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המדובר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בהחלטה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שניתנה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ערר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החלטה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למעצר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ההליכים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סיווג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חומרתן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יפה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לבחינת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הראוי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</w:rPr>
        <w:t>25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מנסיבות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במקרה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דנן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החזיקו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בביתם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תחמושת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רבה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כמפורט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בכתב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המתוקן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החוּמרה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והסיכון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הנלווים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ברורים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לציין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החלופות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הקבועות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</w:t>
      </w:r>
      <w:hyperlink r:id="rId17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בהחזקת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רישא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לחוק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המקסימאלי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הקבוע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בצד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חלופה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7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);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בחלופה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חלקי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19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סיפא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לחוק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שהיא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חלופה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מקלה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יותר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המקסימאלי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הקבוע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בצידה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3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בחינת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הנוהגת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מלמדת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הנדונה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מוטלים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מגוון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רחב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בהתאם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מעונשים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שאינם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כוללים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רכיב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עבודות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מאחורי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סורג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ובריח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נציין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הסיווג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שנעשה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המקרה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שלפניי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נופל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בגדר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סעיף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למדרג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החומרה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דהיינו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תחמושת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כוונה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מניע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פלילי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ביטחוני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כאוסף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כמזכרת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בלבד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</w:rPr>
        <w:t>26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המקרה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שלפניי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בהתחשב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בערכים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שנפגעו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בעוצמת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הפגיעה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הנמוכה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יחסית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בערכים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במדיניות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הנוהגת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ובעקרון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ההלימה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מותנה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8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/>
          <w:bCs/>
          <w:u w:val="single"/>
          <w:rtl w:val="true"/>
        </w:rPr>
        <w:t xml:space="preserve">האם יש להימנע מהרשעת נאשם </w:t>
      </w:r>
      <w:r>
        <w:rPr>
          <w:rFonts w:eastAsia="Times New Roman"/>
          <w:b/>
          <w:bCs/>
          <w:u w:val="single"/>
        </w:rPr>
        <w:t>2</w:t>
      </w:r>
      <w:r>
        <w:rPr>
          <w:rFonts w:eastAsia="Times New Roman"/>
          <w:b/>
          <w:bCs/>
          <w:rtl w:val="true"/>
        </w:rPr>
        <w:t>?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</w:rPr>
      </w:pPr>
      <w:r>
        <w:rPr>
          <w:rFonts w:eastAsia="Times New Roman" w:cs="Calibri" w:ascii="Calibri" w:hAnsi="Calibri"/>
          <w:b/>
          <w:bCs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</w:rPr>
        <w:t>27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הכלל הוא כי מקום בו מודה נאשם בביצוע עבירה ירשיעו בימ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 ורק במקרים חריגים אשר נסיבותיהם יוצאות דופן ועונות על המבחנים שנקבעו בפסיקה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יחרוג בימ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 מהכלל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</w:rPr>
        <w:t>28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במקרה שלפניי מוצא אני כי במאזן שבין אינטרס הציבור הדורש כי נאשם שביצע עבירה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ובוודאי עבירה אשר נובע ממנה סיכון רב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יצא מלפני בימ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 כשהוא מתוייג בתג של הרשעה לבין אינטרס הנאשם שלא להיות מורשע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כבד משקלו של אינטרס הציבור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</w:rPr>
        <w:t>29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לעניין זה אציין ראשית כי נפיצות עבירות הנשק ופוטנציאל הסיכון הרב ביותר הגלום בהן נותנים משקל רב לאינטרס הציבור במקרה זה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המצאות נשק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לרבות תחמושת בידי מי שאינם מורשים לכך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גורמת לא אחת לכך כי בנשק או בתחמושת יעשה שימוש פוגעני ולעיתים קרובות גם קטלני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המדובר במקרה זה בתחמושת בהיקף משמעותי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הסלקת התחמושת על ידי 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מעידה על מודעות לסיכון הגלום בה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</w:rPr>
        <w:t>30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לצד פוטנציאל הסיכון הגלום בהמצאות תחמושת תחת ידי 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לא מצאתי כי 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הציג נימוקים אשר יכולים להצביע על פגיעה כה משמעותית בעתידו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לרבות עתידו המקצועי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כנטען בתסקיר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באופן שיהיה בו כדי להטות את הכף לטובת אינטרס הפרט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</w:rPr>
        <w:t>31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אכן הסנגור הציג שורה של נימוקים לקולא ומוצא אני כי נימוקים אלה יכולים להוות נימוקים להקלה בענישה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אך לא מצאתי כי יש בהם כדי להצדיק הימנעות מהרשעה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360" w:start="360"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קביעת העונש הראוי לנאשמים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</w:rPr>
        <w:t>32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לסעיף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0"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hyperlink r:id="rId21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בגזירת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לנאשמים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בגדר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ההולם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  <w:t>33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לקולא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שקלתי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הודאת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בעובדות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המתוקן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האחריות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שלקחו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מעשיהם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הבריאותיות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והאישיות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עליהן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עמד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הסנגור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מצבו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הנפשי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2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ועברו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הנקי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ומצבה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הרפואי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רעיית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הזמן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שחלף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מאז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עיקרי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לקולא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העובדה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הוחזקה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במשך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תקופה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ארוכה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מלמדות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כוונות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זדון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רצון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לעשות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יהא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לסכן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הציבור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בכוחות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הביטחון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החזיק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ברשותו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שונים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שעולה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המסמכים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הוצגו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לעיוני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הוחזרו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ידו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לרשויות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שממילא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יכול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לעשות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בתחמושת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שהוחזקה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בביתו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2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נטל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מרשות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הצבא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תחמושת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התכוון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לעשות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מזיק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רוב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החזיק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שימוש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נטל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כמזכרת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מחבר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ליחידה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נהרג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במהלך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פעילות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מבצעית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במהלך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מלחמת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לבנון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השנייה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</w:rPr>
        <w:t>34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לחומרה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שקלתי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העובדה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שהנאשמים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החזיקו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נכבדה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תחמושת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כדין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הסיכון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הגלום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הצורך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ממשית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להרתיע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היחיד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הרבים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מפני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ביצועה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שקלתי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הכולל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מגוון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העובדה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תלוי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ועומד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נגדו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למשך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8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מתיק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קודם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כנטען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סנגורו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הוגשה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בקשת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חנינה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לנשיא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המדינה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תתקבל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אמור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להתייצב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בתחילת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מרץ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2016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נוכח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האמור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החלטתי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לגזור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בעבודות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שסבורני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בהתחשב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המכביד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</w:rPr>
        <w:t>35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בהתחשב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באמור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ובעיקר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בהתחשב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התחמושת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הנמוך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ביותר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החומרה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סבור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להסתפק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מרתיעה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הצופה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עתיד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בצירוף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קנס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כספי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</w:rPr>
        <w:t>36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אינני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סבור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מקום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לחייב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2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לבצע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לתועלת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הציבור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שהומלץ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בתסקיר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אמצעי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קשור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הדוק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להמלצת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להימנע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מהרשעתו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המלצה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אותה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החלטתי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כאמור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לאמץ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סבורני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ותהליך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השיקום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2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אגף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השיקום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משרד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הביטחון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אינם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מחייבים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אמצעי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החלטתי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להימנע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מכך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360" w:start="36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</w:rPr>
        <w:t>37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  <w:tab/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בהתחשב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בטיעוני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הצדדים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ובכלל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נסיבות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העניין</w:t>
      </w:r>
      <w:r>
        <w:rPr>
          <w:rFonts w:eastAsia="Times New Roman"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גוזר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הנאשמים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העונשים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הבאים</w:t>
      </w:r>
      <w:r>
        <w:rPr>
          <w:rFonts w:eastAsia="Times New Roman" w:cs="David"/>
          <w:b/>
          <w:bCs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א</w:t>
      </w:r>
      <w:r>
        <w:rPr>
          <w:rFonts w:eastAsia="Times New Roman"/>
          <w:rtl w:val="true"/>
        </w:rPr>
        <w:t xml:space="preserve">. </w:t>
        <w:tab/>
      </w:r>
      <w:r>
        <w:rPr>
          <w:rFonts w:eastAsia="Times New Roman"/>
          <w:b/>
          <w:bCs/>
        </w:rPr>
        <w:t>12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 xml:space="preserve">חודשי מאסר על תנאי והתנאי הוא שלמשך </w:t>
      </w:r>
      <w:r>
        <w:rPr>
          <w:rFonts w:eastAsia="Times New Roman"/>
          <w:b/>
          <w:bCs/>
        </w:rPr>
        <w:t>3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שנים החל מהיום לא יעברו ויורשעו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בתקופת התנאי או לאחריה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 xml:space="preserve">בעבירה לפי </w:t>
      </w:r>
      <w:hyperlink r:id="rId22">
        <w:r>
          <w:rPr>
            <w:rStyle w:val="Hyperlink"/>
            <w:rFonts w:eastAsia="Times New Roman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/>
            <w:b/>
            <w:bCs/>
            <w:color w:val="0000FF"/>
            <w:u w:val="single"/>
          </w:rPr>
          <w:t>144</w:t>
        </w:r>
      </w:hyperlink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</w:t>
      </w:r>
      <w:hyperlink r:id="rId23">
        <w:r>
          <w:rPr>
            <w:rStyle w:val="Hyperlink"/>
            <w:rFonts w:eastAsia="Times New Roman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התשל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 xml:space="preserve">ז – </w:t>
      </w:r>
      <w:r>
        <w:rPr>
          <w:rFonts w:eastAsia="Times New Roman"/>
          <w:b/>
          <w:bCs/>
        </w:rPr>
        <w:t>1977</w:t>
      </w:r>
      <w:r>
        <w:rPr>
          <w:rFonts w:eastAsia="Times New Roman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  <w:b/>
          <w:b/>
          <w:bCs/>
          <w:rtl w:val="true"/>
        </w:rPr>
        <w:t xml:space="preserve">קנס בסך </w:t>
      </w:r>
      <w:r>
        <w:rPr>
          <w:rFonts w:eastAsia="Times New Roman"/>
          <w:b/>
          <w:bCs/>
        </w:rPr>
        <w:t>5,000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 xml:space="preserve">ח או </w:t>
      </w:r>
      <w:r>
        <w:rPr>
          <w:rFonts w:eastAsia="Times New Roman"/>
          <w:b/>
          <w:bCs/>
        </w:rPr>
        <w:t>50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ימי מאסר תמורתו</w:t>
      </w:r>
      <w:r>
        <w:rPr>
          <w:rFonts w:eastAsia="Times New Roman"/>
          <w:b/>
          <w:bCs/>
          <w:rtl w:val="true"/>
        </w:rPr>
        <w:t>;</w:t>
      </w:r>
      <w:r>
        <w:rPr>
          <w:rFonts w:eastAsia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 xml:space="preserve">הקנס ישולם ב </w:t>
      </w:r>
      <w:r>
        <w:rPr>
          <w:rFonts w:eastAsia="Times New Roman"/>
          <w:rtl w:val="true"/>
        </w:rPr>
        <w:t>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שיעורים חודשיים שווים ורצופים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תשלום ראשון תוך </w:t>
      </w:r>
      <w:r>
        <w:rPr>
          <w:rFonts w:eastAsia="Times New Roman"/>
        </w:rPr>
        <w:t>30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יום מהיום ועד התשלום המלא בפועל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אי תשלום אחד מהשיעורים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יעמיד את היתרה לפירעון מיידי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במידה ובתיק יש פיקדון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הפיקדון יקוזז כנגד קנס שהוטל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במידה וקיימת יתרה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היתרה תוחזר למפקיד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המוצגים יחולטו לטובת אוצר המדינה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/>
          <w:bCs/>
          <w:rtl w:val="true"/>
        </w:rPr>
        <w:t xml:space="preserve">זכות ערעור תוך </w:t>
      </w:r>
      <w:r>
        <w:rPr>
          <w:rFonts w:eastAsia="Times New Roman"/>
          <w:b/>
          <w:bCs/>
        </w:rPr>
        <w:t>45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יום מהיום בבית משפט המחוזי בנצרת</w:t>
      </w:r>
      <w:r>
        <w:rPr>
          <w:rFonts w:eastAsia="Times New Roman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eastAsia="Calibri"/>
          <w:color w:val="FFFFFF"/>
          <w:sz w:val="2"/>
          <w:szCs w:val="2"/>
        </w:rPr>
        <w:t>5129371</w:t>
      </w:r>
      <w:r>
        <w:rPr>
          <w:rFonts w:eastAsia="Calibri"/>
          <w:sz w:val="6"/>
          <w:szCs w:val="6"/>
          <w:rtl w:val="true"/>
        </w:rPr>
        <w:t>&lt;</w:t>
      </w:r>
      <w:r>
        <w:rPr>
          <w:rFonts w:eastAsia="Calibri"/>
          <w:sz w:val="6"/>
          <w:szCs w:val="6"/>
        </w:rPr>
        <w:t>#4#</w:t>
      </w:r>
      <w:r>
        <w:rPr>
          <w:rFonts w:eastAsia="Calibri"/>
          <w:sz w:val="6"/>
          <w:szCs w:val="6"/>
          <w:rtl w:val="true"/>
        </w:rPr>
        <w:t>&gt;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ניתן והודע היום ל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שבט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09/02/2016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יריב נבון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eastAsia="Calibri"/>
          <w:color w:val="FFFFFF"/>
          <w:sz w:val="2"/>
          <w:szCs w:val="2"/>
        </w:rPr>
      </w:pPr>
      <w:r>
        <w:rPr>
          <w:rFonts w:eastAsia="Calibri"/>
          <w:color w:val="FFFFFF"/>
          <w:sz w:val="2"/>
          <w:szCs w:val="2"/>
        </w:rPr>
        <w:t>5129371</w:t>
      </w:r>
      <w:r>
        <w:rPr>
          <w:rFonts w:eastAsia="Calibri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יריב נבון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  <w:r>
        <w:rPr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טב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26182-10-14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עצאם אבו חנין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17929065" TargetMode="External"/><Relationship Id="rId12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724364" TargetMode="External"/><Relationship Id="rId15" Type="http://schemas.openxmlformats.org/officeDocument/2006/relationships/hyperlink" Target="http://www.nevo.co.il/case/17929065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40j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2017-04-13T10:25:00Z</dcterms:created>
  <dc:creator> </dc:creator>
  <dc:description/>
  <cp:keywords/>
  <dc:language>en-IL</dc:language>
  <cp:lastModifiedBy>yafit</cp:lastModifiedBy>
  <dcterms:modified xsi:type="dcterms:W3CDTF">2017-04-13T10:25:00Z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עצאם אבו חנין;אשרף אבו חנין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17929065:2;5724364</vt:lpwstr>
  </property>
  <property fmtid="{D5CDD505-2E9C-101B-9397-08002B2CF9AE}" pid="9" name="CITY">
    <vt:lpwstr>טב'</vt:lpwstr>
  </property>
  <property fmtid="{D5CDD505-2E9C-101B-9397-08002B2CF9AE}" pid="10" name="DATE">
    <vt:lpwstr>20160209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יריב נבון</vt:lpwstr>
  </property>
  <property fmtid="{D5CDD505-2E9C-101B-9397-08002B2CF9AE}" pid="14" name="LAWLISTTMP1">
    <vt:lpwstr>70301/144.a:5;040c.a;40ja;144</vt:lpwstr>
  </property>
  <property fmtid="{D5CDD505-2E9C-101B-9397-08002B2CF9AE}" pid="15" name="LAWYER">
    <vt:lpwstr>נוח רחאל ;סעיד חדאד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26182</vt:lpwstr>
  </property>
  <property fmtid="{D5CDD505-2E9C-101B-9397-08002B2CF9AE}" pid="22" name="NEWPARTB">
    <vt:lpwstr>10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380020160209</vt:lpwstr>
  </property>
  <property fmtid="{D5CDD505-2E9C-101B-9397-08002B2CF9AE}" pid="34" name="TYPE_N_DATE">
    <vt:lpwstr>38020160209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