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897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26247-04-19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שושן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ברק לקס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יעקב שושן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ויצמן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335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 המתוקן במסגרת הסדר טיעון והורשע</w:t>
      </w:r>
      <w:r>
        <w:rPr>
          <w:rFonts w:ascii="David" w:hAnsi="David"/>
          <w:rtl w:val="true"/>
        </w:rPr>
        <w:t xml:space="preserve"> בעבירות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שמופרטות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המתוקן כולל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הייתה הסכמה בין הצדדים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לגבי העונש והצדדים טענו לעונש באופן פתוח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פציעה כשהעבריין מזויין לפי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סעיף </w:t>
      </w:r>
      <w:hyperlink r:id="rId8">
        <w:r>
          <w:rPr>
            <w:rStyle w:val="Hyperlink"/>
            <w:rFonts w:cs="Arial" w:ascii="Arial" w:hAnsi="Arial"/>
            <w:color w:val="0000FF"/>
          </w:rPr>
          <w:t>335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והחזקת אגרופן או סכין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שלא כדין 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186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הרלוונטי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אורן גרין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בעל חנות אופניים במרכז המסחרי ברחבי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העיר באר יעקב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החנות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1.10.17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התגלע סכסוך בין המתלונן לבין מור בובליל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מור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שהייתה חברתו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במהלכו הפילה מור זוגות אופניים בחנות והמתלונן בתגובה בעט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בישבנה של 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לחנות יחד עם אחר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שזהותו אינה ידועה למאשימה כשהוא מצויד בסכין יפנית בעלת ידית כתומה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הסכין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ושאל את המתלונן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למה בעטת בחברה שלי</w:t>
      </w:r>
      <w:r>
        <w:rPr>
          <w:rFonts w:cs="Arial" w:ascii="Arial" w:hAnsi="Arial"/>
          <w:rtl w:val="true"/>
        </w:rPr>
        <w:t xml:space="preserve">?". </w:t>
      </w: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הכה הנאשם באגרוף בפניו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והמתלונן נהדף לאחור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שלף הנאשם מכיס מכנסיו את הסכין והתקרב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לעבר המתלונן בתנועות דקירה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התקדם המתלונן לעברו של הנאשם והאחר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והתגונן מפניהם בכך שהכה בראשו 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האחר באמצעות מפתח לתיקון אופניים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המפתח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דקר הנאשם את המתלונן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במרפקו באמצעות הסכין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שהאחר השליך כלי עבודה לעברו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הכה המתלונן בראשו של הנאשם באמצעות המפתח ודם ירד מראשו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הפיל הנאשם את המתלונן וחתך אותו באמצעות הסכין בידו ובפניו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נגרמו למתלונן חתך בפנים מעל גבה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חתך בכתף צידית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שמאל באורך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וריטוש שריר הדלתואיד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לאחר שנפצע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עזב הנאשם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המקום ללא הזעקת טיפול רפואי ומקום הימצאו לא נודע עד לחודש 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בביצוע עבירה של החזקה בסם לצריכה עצמית לפי סעיף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hyperlink r:id="rId11">
        <w:r>
          <w:rPr>
            <w:rStyle w:val="Hyperlink"/>
            <w:rFonts w:cs="Arial" w:ascii="Arial" w:hAnsi="Arial"/>
            <w:color w:val="0000FF"/>
          </w:rPr>
          <w:t>7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)+</w:t>
        </w:r>
        <w:r>
          <w:rPr>
            <w:rStyle w:val="Hyperlink"/>
            <w:rFonts w:cs="Arial" w:ascii="Arial" w:hAnsi="Arial"/>
            <w:color w:val="0000FF"/>
          </w:rPr>
          <w:t>7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3.4.19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עת הגיעו שוטרים על מנת לעצור את הנאשם בשל האמור באישום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הנאשם מחזיק סם מסוכן מסוג קנבוס כשהוא מחולק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שקיות במשקל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כולל של </w:t>
      </w:r>
      <w:r>
        <w:rPr>
          <w:rFonts w:cs="Arial" w:ascii="Arial" w:hAnsi="Arial"/>
        </w:rPr>
        <w:t>6.82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שקית ובה סם מסוכן מסוג קנבוס מעורב עם טבק במשקל כולל של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0.52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התקבלו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תסקירים מטעם שירות המבחן ולהלן עיקריהם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לשני ילדים קטינים אחד בן שלוש שנים והשני בן שנה</w:t>
      </w:r>
      <w:r>
        <w:rPr>
          <w:rFonts w:cs="David" w:ascii="David" w:hAnsi="David"/>
          <w:rtl w:val="true"/>
        </w:rPr>
        <w:t xml:space="preserve">.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לחובתו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שתי הרשעות קודמות בעבירות הסמים והפרת הוראה חוקית ומתן אמצעים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לביצוע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שירות המבחן התרשם מנטייתו של הנאשם לאימפולסיביות וישנו קושי בוויסות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דחפיו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לגבי העבירות נשוא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ביטא חרטה והכרה בחומרת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שיתף שהחל לצרוך סמים מסוג קנביס בהיותו נער וכיום צורך קנאביס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רפואי ובדיקות השתן שביצע בשירות המבחן הדגימו שימוש בסמים מסוג קנאביס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7.11.22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 הנאשם בקבוצה טיפולית המיועדת למבוגרים עוברי חוק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תחילה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הנאשם להגיע באופן סדיר למפגשים הקבוצתיי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בהמשך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הגיע למפגשים בצורה סדירה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נטל בהם חלק פעיל וגילה מוטיבציה להיתרם 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מהמפגשים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התרשם שהסיכון להישנות התנהגות אלימה של הנאשם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בעתיד היא בינונית והמליץ להעמדתו בצו מבחן למשך שנה והטלת ענישה בדרך של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מאסר שירוצה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 העבירה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הוגשה הצהרת נפגע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עבירה מטעם</w:t>
      </w:r>
      <w:r>
        <w:rPr>
          <w:rFonts w:ascii="David" w:hAnsi="David"/>
          <w:rtl w:val="true"/>
        </w:rPr>
        <w:t xml:space="preserve"> המתלונן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ולהלן עיקריה</w:t>
      </w:r>
      <w:r>
        <w:rPr>
          <w:rFonts w:cs="David" w:ascii="David" w:hAnsi="David"/>
          <w:rtl w:val="true"/>
        </w:rPr>
        <w:t>:</w:t>
        <w:tab/>
      </w:r>
      <w:r>
        <w:rPr>
          <w:rFonts w:ascii="David" w:hAnsi="David"/>
          <w:rtl w:val="true"/>
        </w:rPr>
        <w:t xml:space="preserve">מאז אותו מקרה השתנו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חייו לרעה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יוצא לעבודה מפוחד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נשארו לו צלקות פיזיות שמזכירות לו תמיד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המקרה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וגורמות לו לדיכאון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לא ישן טוב והזיכרונו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של המקרה גורמים לו לסיוטים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לעולם לא ישכח את המקרה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בשלב הטיעונים לעונש בא כוח הנאשם התנגד להגשת הצהרת נפגע העבירה ועמד על כך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שברצונו לחקור את המתלונן בחקירה נגדית על הצהרתו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התנגדותו נדחתה ובקשתו לזימון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המתלונן לדיון על מנת לחקור אותו על הצהרתו נדחתה גם 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בפסיקה נקבע שבמצבים מסוימים יהיה רצוי להתיר את חקירתו של נפגע עבירה על הצהרתו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כגון במקום שבהם הצהרת הנפגע תשמש לביסוס נתונים אובייקטיבים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לחקור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להוכיח ולהפריך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להבדיל מהצהרה המביאה בעיקרה עמדות סובייקטיביות שאין ערך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רב לחקירה ביחס אליהן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14.7.19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בפסקה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סולברג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המקרה שבפני איננו נמנה על אותם מקרים שמצדיקים זימון נפגע העבירה לבית המשפט 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מנת שייחקר בחקירה נגדית על ידי ההגנה על הצהרתו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מהנימוקים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כבר העיד במשפט ולהגנה ניתנה הזדמנות לחקור אותו בחקירה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נגדית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תחילה כפר בכתב האישום המקורי ונקבעו מועדים להוכחות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הנפגע זומן למתן עדות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התייצב והעיד על האירוע המתואר באישום הראשון ואף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נחקר בחקירה נגדית על ידי ההגנה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פרוטוקול מיום </w:t>
      </w:r>
      <w:r>
        <w:rPr>
          <w:rFonts w:cs="David" w:ascii="David" w:hAnsi="David"/>
        </w:rPr>
        <w:t>19.10.21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ברור שאין מקום להטריח את הנפגע בשנית שיבוא לבית משפט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להיחקר בחקירה נגדית על הצהרת הנפגע שהגיש בחקירה נגדית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המסמכים הרפואיים שמתארים את מהות הפציעה וסוג הנזק שנגרם למתלונן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עקב פציעתו על ידי הנאשם כבר הוגשו לתיק בית המשפט במהלך שמיעת הראיות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וסומנו כ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הוגשו לבית המשפט בהסכמת ההגנה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פרוט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שהמסמכים הרפואיים כבר הוגשו ועוד בהסכמה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הצהרת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נפגע העבירה איננה נחוצה לשם ביסוס נתונים אובייקטיבים כלשהם בנוגע לאירוע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הפציעה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הצהרת נפגע העבירה הפכה למסמך המביא עמדות סובייקטיביות של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המתלונן שאין ערך רב לחקירה הנגדית ביחס אליהן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החומרה שבכתב האישום מתבטאת בפגיעה הרבה בערכים המוגנים ובהיקף   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הפגיעה במתלונן 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נמלט מאימת הדין למשך שנה וחצי כנתון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משמעותי לחומרה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הנזקים שנגרמו למתלונן הם נזקים ברף הגבוה שכללו ריטוש שריר והמתלונן נזקק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לסגירת החתכים באמצעות תפרים ובהמשך לפיזיותרפי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הפנתה  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לתמונות הפציעות וסיכום האשפוז שהוגשו</w:t>
      </w:r>
      <w:r>
        <w:rPr>
          <w:rFonts w:cs="Arial" w:ascii="Arial" w:hAnsi="Arial"/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סבורה כי מתחם העונש ההולם באישום הראשון נע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ובאשר לאישום השני המתחם מתחיל ממאסר מותנה ועד מספר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חודשים שיכול וירוצו בעבודות שירות בליווי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המאשימה עתרה למקם את הנאשם במחצית המתחם ולהשית עליו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פיצוי למתלונן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להלן טענות ה</w:t>
      </w:r>
      <w:r>
        <w:rPr>
          <w:rFonts w:ascii="David" w:hAnsi="David"/>
          <w:rtl w:val="true"/>
        </w:rPr>
        <w:t xml:space="preserve">הגנה </w:t>
      </w:r>
      <w:r>
        <w:rPr>
          <w:rFonts w:ascii="David" w:hAnsi="David"/>
          <w:rtl w:val="true"/>
        </w:rPr>
        <w:t>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לא ברח לשום מקום ולא נעלם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מאז המקרה חלפו ארבע שנים והנאשם עבר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כברת דרך בחיים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הקים משפחה ונולדו לו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שיתף פעולה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לעבוד בעבודה סדורה ומנהל כיום אורח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חיים נורמטיבי שנסוב סביב עבודתו ובני 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יש להיעתר להמלצת שירות המבחן ולהשית על הנאשם צו מבחן ומאסר שירוצה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העבירה </w:t>
      </w:r>
      <w:r>
        <w:rPr>
          <w:rFonts w:ascii="David" w:hAnsi="David"/>
          <w:rtl w:val="true"/>
        </w:rPr>
        <w:t xml:space="preserve">שבה הורשע הנאשם </w:t>
      </w:r>
      <w:r>
        <w:rPr>
          <w:rFonts w:ascii="David" w:hAnsi="David"/>
          <w:rtl w:val="true"/>
        </w:rPr>
        <w:t xml:space="preserve">באישום הראשון </w:t>
      </w:r>
      <w:r>
        <w:rPr>
          <w:rFonts w:ascii="David" w:hAnsi="David"/>
          <w:rtl w:val="true"/>
        </w:rPr>
        <w:t>הינה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עמד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אחת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הצורך למגר את התופעה של שימוש בחפצים חדים ככלי לפתרון סכסוכים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: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8823/12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שבתאי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01.07/14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ab/>
          <w:t xml:space="preserve"> </w:t>
        </w:r>
        <w:r>
          <w:rPr>
            <w:rStyle w:val="Hyperlink"/>
            <w:rFonts w:cs="David" w:ascii="David" w:hAnsi="David"/>
            <w:color w:val="0000FF"/>
            <w:u w:val="single"/>
          </w:rPr>
          <w:t>6980/15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ומעה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18.04.16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5828/14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כילאני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04.03.15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אביא </w:t>
      </w:r>
      <w:r>
        <w:rPr>
          <w:rFonts w:ascii="David" w:hAnsi="David"/>
          <w:rtl w:val="true"/>
        </w:rPr>
        <w:t>להלן מספר דוגמאות למדיניות הענישה ה</w:t>
      </w:r>
      <w:r>
        <w:rPr>
          <w:rFonts w:ascii="David" w:hAnsi="David"/>
          <w:rtl w:val="true"/>
        </w:rPr>
        <w:t>נוהגת</w:t>
      </w:r>
      <w:r>
        <w:rPr>
          <w:rFonts w:ascii="David" w:hAnsi="David"/>
          <w:rtl w:val="true"/>
        </w:rPr>
        <w:t xml:space="preserve"> מפסיקתו של בית המשפט העליון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עבירה של פציעה</w:t>
      </w:r>
      <w:r>
        <w:rPr>
          <w:rFonts w:ascii="David" w:hAnsi="David"/>
          <w:rtl w:val="true"/>
        </w:rPr>
        <w:t xml:space="preserve"> בנסיבות מחמירות 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335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1529/20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 סייד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15.3.20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הגיע לחנות של הקורבן עקב כך שחשד בו כמי שהיכה את 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דקר אותו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ונגזרו על המבקש </w:t>
      </w:r>
      <w:r>
        <w:rPr>
          <w:rFonts w:cs="Arial" w:ascii="Arial" w:hAnsi="Arial"/>
          <w:u w:val="single"/>
        </w:rPr>
        <w:t>11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וזאת על אף העובדה שהיה נעדר עבר פלילי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6817/22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פריג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18.10.22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החזקת סכין שלא כדין ופציעה כשהעבריין מזוין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המשפט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המחוזי נדחה ונדחתה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5955/23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שמשון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14.8.23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בבית משפט השלום בביצוע עבירה של פציעה כשהעבריין מזוין </w:t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מאסר בפועל</w:t>
      </w:r>
      <w:r>
        <w:rPr>
          <w:rFonts w:ascii="Arial" w:hAnsi="Arial" w:cs="Arial"/>
          <w:rtl w:val="true"/>
        </w:rPr>
        <w:t xml:space="preserve">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המשפט המחוזי נדחה ונדחתה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בקשת רשות ערעור שהוגשה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rtl w:val="true"/>
        </w:rPr>
        <w:t>מידת האשם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 הנאשם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בביצוע העבירה וגם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במידת הנזק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שנגרם למתלונן עקב ביצוען של אותן 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לגבי מידת האשם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כפי שעולה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הלך מיוזמתו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למתלונן כאשר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הוא מלווה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הכה את המתלונן באגרוף בפניו ודקר אותו במרפקו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בידו ובפניו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שעבירת הפציעה בוצעה במידת אשם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לגבי מידת הנזק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כפי שעולה מעובדות כתב האישום המתוקן ומהמוצגים שהוגשו לבית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המשפט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וסומנו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למתלונן נגרם חתך מעל גבה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חתך בכתף צידית באורך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וריטוש שריר הדלתואיד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נזקק לסגירת החתכים עם תפרים שהותירו צלקות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והמתלונן נזקק לטיפולי פיזיותרפיה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מידת הנזק גם היא במידה 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</w:t>
      </w:r>
      <w:r>
        <w:rPr>
          <w:rFonts w:ascii="David" w:hAnsi="David"/>
          <w:rtl w:val="true"/>
        </w:rPr>
        <w:t xml:space="preserve">לגבי האישום הראשון </w:t>
      </w:r>
      <w:r>
        <w:rPr>
          <w:rFonts w:ascii="David" w:hAnsi="David"/>
          <w:rtl w:val="true"/>
        </w:rPr>
        <w:t xml:space="preserve"> נע 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ועד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</w:t>
      </w:r>
      <w:r>
        <w:rPr>
          <w:rFonts w:ascii="David" w:hAnsi="David"/>
          <w:rtl w:val="true"/>
        </w:rPr>
        <w:t>ופיצוי למתלונ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באשר לאישום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נע בין </w:t>
      </w:r>
      <w:r>
        <w:rPr>
          <w:rFonts w:ascii="David" w:hAnsi="David"/>
          <w:u w:val="single"/>
          <w:rtl w:val="true"/>
        </w:rPr>
        <w:t xml:space="preserve">מאסר על תנאי ועד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הודאתו של הנאשם וחסכון בזמן שיפוטי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וזאת על אף שההודאה נמסרה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רק לאחר שהמתלונן העיד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היותו של הנאשם אב לשני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בן שלוש שנים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והשני בן שנה אחת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 של הנאשם שכולל</w:t>
      </w:r>
      <w:r>
        <w:rPr>
          <w:rFonts w:ascii="David" w:hAnsi="David"/>
          <w:rtl w:val="true"/>
        </w:rPr>
        <w:t xml:space="preserve"> שתי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הראשונה בגין עבירות סמים והפרת הוראה חוקית שריצה בגינן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והשנייה בגין מתן אמצעים לביצוע פשע וריצה בגינה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3.4.19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18.4.19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יבצע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ממועד שחרורו הנאשם לא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יבצע עבירה מסוג עוון או פשע לפי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ab/>
        <w:tab/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ישלם</w:t>
      </w:r>
      <w:r>
        <w:rPr>
          <w:rFonts w:ascii="David" w:hAnsi="David"/>
          <w:rtl w:val="true"/>
        </w:rPr>
        <w:t xml:space="preserve"> למתלונן עד תביעה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בסך של </w:t>
      </w:r>
      <w:r>
        <w:rPr>
          <w:rFonts w:cs="David" w:ascii="David" w:hAnsi="David"/>
        </w:rPr>
        <w:t>15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₪. </w:t>
      </w:r>
      <w:r>
        <w:rPr>
          <w:rFonts w:ascii="David" w:hAnsi="David"/>
          <w:rtl w:val="true"/>
        </w:rPr>
        <w:t xml:space="preserve">הפיצוי ישולם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   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4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יעמוד מלוא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סכום הפיצוי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26247-04-19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יעקב שושן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" TargetMode="External"/><Relationship Id="rId4" Type="http://schemas.openxmlformats.org/officeDocument/2006/relationships/hyperlink" Target="http://www.nevo.co.il/law/70301/335.a.1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case/25647402" TargetMode="External"/><Relationship Id="rId14" Type="http://schemas.openxmlformats.org/officeDocument/2006/relationships/hyperlink" Target="http://www.nevo.co.il/case/5610097" TargetMode="External"/><Relationship Id="rId15" Type="http://schemas.openxmlformats.org/officeDocument/2006/relationships/hyperlink" Target="http://www.nevo.co.il/case/20642756" TargetMode="External"/><Relationship Id="rId16" Type="http://schemas.openxmlformats.org/officeDocument/2006/relationships/hyperlink" Target="http://www.nevo.co.il/case/17948078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6496237" TargetMode="External"/><Relationship Id="rId20" Type="http://schemas.openxmlformats.org/officeDocument/2006/relationships/hyperlink" Target="http://www.nevo.co.il/case/29089955" TargetMode="External"/><Relationship Id="rId21" Type="http://schemas.openxmlformats.org/officeDocument/2006/relationships/hyperlink" Target="http://www.nevo.co.il/case/29901718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2024-01-28T13:16:00Z</dcterms:created>
  <dc:creator> </dc:creator>
  <dc:description/>
  <cp:keywords/>
  <dc:language>en-IL</dc:language>
  <cp:lastModifiedBy>h3</cp:lastModifiedBy>
  <dcterms:modified xsi:type="dcterms:W3CDTF">2024-01-28T13:16:00Z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שושן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25647402;5610097;20642756;17948078;26496237;29089955;29901718</vt:lpwstr>
  </property>
  <property fmtid="{D5CDD505-2E9C-101B-9397-08002B2CF9AE}" pid="9" name="CITY">
    <vt:lpwstr>רמ'</vt:lpwstr>
  </property>
  <property fmtid="{D5CDD505-2E9C-101B-9397-08002B2CF9AE}" pid="10" name="DATE">
    <vt:lpwstr>20240123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70301/335.a.1:2;186.a</vt:lpwstr>
  </property>
  <property fmtid="{D5CDD505-2E9C-101B-9397-08002B2CF9AE}" pid="15" name="LAWLISTTMP2">
    <vt:lpwstr>4216/007.a;007.c</vt:lpwstr>
  </property>
  <property fmtid="{D5CDD505-2E9C-101B-9397-08002B2CF9AE}" pid="16" name="LAWYER">
    <vt:lpwstr>ברק לקס;עמית ויצמן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26247</vt:lpwstr>
  </property>
  <property fmtid="{D5CDD505-2E9C-101B-9397-08002B2CF9AE}" pid="23" name="NEWPARTB">
    <vt:lpwstr>04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380020240123</vt:lpwstr>
  </property>
  <property fmtid="{D5CDD505-2E9C-101B-9397-08002B2CF9AE}" pid="35" name="TYPE_N_DATE">
    <vt:lpwstr>38020240123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