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1"/>
        <w:gridCol w:w="3679"/>
      </w:tblGrid>
      <w:tr>
        <w:trPr>
          <w:trHeight w:val="418" w:hRule="exact"/>
        </w:trPr>
        <w:tc>
          <w:tcPr>
            <w:tcW w:w="872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5041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26356-05-10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26385-05-10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ליה לב און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הנשיאה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מדינת ישראל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אין התייצבות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שביתה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מחאג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נה</w:t>
      </w:r>
      <w:r>
        <w:rPr>
          <w:b w:val="false"/>
          <w:b w:val="false"/>
          <w:bCs w:val="false"/>
          <w:u w:val="none"/>
          <w:rtl w:val="true"/>
        </w:rPr>
        <w:t xml:space="preserve">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מוחמד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אדלה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numPr>
          <w:ilvl w:val="0"/>
          <w:numId w:val="1"/>
        </w:numPr>
        <w:spacing w:lineRule="auto" w:line="360"/>
        <w:ind w:hanging="360" w:start="765"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מוחמד בן טלאל 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הורשע ביום </w:t>
      </w:r>
      <w:r>
        <w:rPr/>
        <w:t>21.10.10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פי הודייתו בכתב אישום מתוקן המייחס לו עבירה של החזקת נשק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 העובדות המפורטות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3.5.10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5:00</w:t>
      </w:r>
      <w:r>
        <w:rPr>
          <w:rtl w:val="true"/>
        </w:rPr>
        <w:t xml:space="preserve"> </w:t>
      </w:r>
      <w:r>
        <w:rPr>
          <w:rtl w:val="true"/>
        </w:rPr>
        <w:t>בבוקר במתחם משפחת ג</w:t>
      </w:r>
      <w:r>
        <w:rPr>
          <w:rtl w:val="true"/>
        </w:rPr>
        <w:t>'</w:t>
      </w:r>
      <w:r>
        <w:rPr>
          <w:rtl w:val="true"/>
        </w:rPr>
        <w:t>יוסי 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 החזיק הנאשם בעצמו או באמצעות אחר מטעמו בחזיזים צבאיים 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הדלקה חשמלית ללא רשות על פי 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65" w:leader="none"/>
        </w:tabs>
        <w:spacing w:lineRule="auto" w:line="360"/>
        <w:ind w:hanging="360" w:start="765" w:end="0"/>
        <w:jc w:val="both"/>
        <w:rPr/>
      </w:pPr>
      <w:r>
        <w:rPr>
          <w:rtl w:val="true"/>
        </w:rPr>
        <w:t>לחובתו הרשעות קודמות</w:t>
      </w:r>
      <w:r>
        <w:rPr>
          <w:rtl w:val="true"/>
        </w:rPr>
        <w:t xml:space="preserve">. </w:t>
      </w:r>
      <w:r>
        <w:rPr>
          <w:rtl w:val="true"/>
        </w:rPr>
        <w:t xml:space="preserve">עבירות משנת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של נשיאת סכין והתנהגות פרועה במקום ציבורי</w:t>
      </w:r>
      <w:r>
        <w:rPr>
          <w:rtl w:val="true"/>
        </w:rPr>
        <w:t xml:space="preserve">, </w:t>
      </w:r>
      <w:r>
        <w:rPr>
          <w:rtl w:val="true"/>
        </w:rPr>
        <w:t>בגינן נגזר מאסר מותנה וקנס</w:t>
      </w:r>
      <w:r>
        <w:rPr>
          <w:rtl w:val="true"/>
        </w:rPr>
        <w:t xml:space="preserve">; </w:t>
      </w:r>
      <w:r>
        <w:rPr>
          <w:rtl w:val="true"/>
        </w:rPr>
        <w:t xml:space="preserve">ועבירה משנת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של החזקת נכס החשוד כגנוב</w:t>
      </w:r>
      <w:r>
        <w:rPr>
          <w:rtl w:val="true"/>
        </w:rPr>
        <w:t xml:space="preserve">, </w:t>
      </w:r>
      <w:r>
        <w:rPr>
          <w:rtl w:val="true"/>
        </w:rPr>
        <w:t>בגינה נגזרו מאסר מותנה שלא יעבור על סוג העבירות בו הורשע והתחייבות להימנע מעבירה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65" w:leader="none"/>
        </w:tabs>
        <w:spacing w:lineRule="auto" w:line="360"/>
        <w:ind w:hanging="540" w:start="765" w:end="0"/>
        <w:jc w:val="both"/>
        <w:rPr/>
      </w:pPr>
      <w:r>
        <w:rPr>
          <w:rtl w:val="true"/>
        </w:rPr>
        <w:t>בטיעוניה לעונש עמדה ב</w:t>
      </w:r>
      <w:r>
        <w:rPr>
          <w:rtl w:val="true"/>
        </w:rPr>
        <w:t>"</w:t>
      </w:r>
      <w:r>
        <w:rPr>
          <w:rtl w:val="true"/>
        </w:rPr>
        <w:t>כ המאשימה על חומרת העבירה והמסוכנות שבה</w:t>
      </w:r>
      <w:r>
        <w:rPr>
          <w:rtl w:val="true"/>
        </w:rPr>
        <w:t xml:space="preserve">; </w:t>
      </w:r>
      <w:r>
        <w:rPr>
          <w:rtl w:val="true"/>
        </w:rPr>
        <w:t>על הרשעותיו הקודמות</w:t>
      </w:r>
      <w:r>
        <w:rPr>
          <w:rtl w:val="true"/>
        </w:rPr>
        <w:t xml:space="preserve">: </w:t>
      </w:r>
      <w:r>
        <w:rPr>
          <w:rtl w:val="true"/>
        </w:rPr>
        <w:t xml:space="preserve">נשיאת סכין והתפרעות במקום ציבורי משנת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 xml:space="preserve">והחזקת נכס חשוד כגנוב – בלון גז משטרתי </w:t>
      </w:r>
      <w:r>
        <w:rPr>
          <w:rtl w:val="true"/>
        </w:rPr>
        <w:t xml:space="preserve">- </w:t>
      </w:r>
      <w:r>
        <w:rPr>
          <w:rtl w:val="true"/>
        </w:rPr>
        <w:t xml:space="preserve">משנת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הדגישה את החומרה היתרה שיש בדפוס חוזר של החזקת חומרים נפיצים השייכים לרשויות הביטחון – שם בלון גז השייך למשטרה וכאן חזיזים השייכים 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עוד ציינה כי ב</w:t>
      </w:r>
      <w:r>
        <w:rPr>
          <w:rtl w:val="true"/>
        </w:rPr>
        <w:t>"</w:t>
      </w:r>
      <w:r>
        <w:rPr>
          <w:rtl w:val="true"/>
        </w:rPr>
        <w:t>כ הנאשם התנגד להצעתה לעריכת 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 כל אלו עתרה למאסר בפועל</w:t>
      </w:r>
      <w:r>
        <w:rPr>
          <w:rtl w:val="true"/>
        </w:rPr>
        <w:t xml:space="preserve">, </w:t>
      </w:r>
      <w:r>
        <w:rPr>
          <w:rtl w:val="true"/>
        </w:rPr>
        <w:t>למאסר על תנאי ולקנס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מג</w:t>
      </w:r>
      <w:r>
        <w:rPr>
          <w:rtl w:val="true"/>
        </w:rPr>
        <w:t>'</w:t>
      </w:r>
      <w:r>
        <w:rPr>
          <w:rtl w:val="true"/>
        </w:rPr>
        <w:t>אדלה</w:t>
      </w:r>
      <w:r>
        <w:rPr>
          <w:rtl w:val="true"/>
        </w:rPr>
        <w:t xml:space="preserve">, </w:t>
      </w:r>
      <w:r>
        <w:rPr>
          <w:rtl w:val="true"/>
        </w:rPr>
        <w:t>עמד על ההודיה והחיסכון בזמן שיפוטי</w:t>
      </w:r>
      <w:r>
        <w:rPr>
          <w:rtl w:val="true"/>
        </w:rPr>
        <w:t xml:space="preserve">, </w:t>
      </w:r>
      <w:r>
        <w:rPr>
          <w:rtl w:val="true"/>
        </w:rPr>
        <w:t xml:space="preserve">על היותו בן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 ואב לשני ילדים קטינים</w:t>
      </w:r>
      <w:r>
        <w:rPr>
          <w:rtl w:val="true"/>
        </w:rPr>
        <w:t xml:space="preserve">, </w:t>
      </w:r>
      <w:r>
        <w:rPr>
          <w:rtl w:val="true"/>
        </w:rPr>
        <w:t>שעליו עול פרנסתם וכן מפרנס את הוריו הקשישים והחולים</w:t>
      </w:r>
      <w:r>
        <w:rPr>
          <w:rtl w:val="true"/>
        </w:rPr>
        <w:t xml:space="preserve">; </w:t>
      </w:r>
      <w:r>
        <w:rPr>
          <w:rtl w:val="true"/>
        </w:rPr>
        <w:t>על תקופת מעצרו מ</w:t>
      </w:r>
      <w:r>
        <w:rPr>
          <w:rtl w:val="true"/>
        </w:rPr>
        <w:t>-</w:t>
      </w:r>
      <w:r>
        <w:rPr/>
        <w:t>6.5.10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16.5.10</w:t>
      </w:r>
      <w:r>
        <w:rPr>
          <w:rtl w:val="true"/>
        </w:rPr>
        <w:t xml:space="preserve">, </w:t>
      </w:r>
      <w:r>
        <w:rPr>
          <w:rtl w:val="true"/>
        </w:rPr>
        <w:t xml:space="preserve">ועל מעצר הבית המלא בו שהה מיום </w:t>
      </w:r>
      <w:r>
        <w:rPr/>
        <w:t>16.5.10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10.8.10</w:t>
      </w:r>
      <w:r>
        <w:rPr>
          <w:rtl w:val="true"/>
        </w:rPr>
        <w:t xml:space="preserve"> </w:t>
      </w:r>
      <w:r>
        <w:rPr>
          <w:rtl w:val="true"/>
        </w:rPr>
        <w:t>ללא הפרת תנאי השחרור</w:t>
      </w:r>
      <w:r>
        <w:rPr>
          <w:rtl w:val="true"/>
        </w:rPr>
        <w:t xml:space="preserve">. </w:t>
      </w:r>
      <w:r>
        <w:rPr>
          <w:rtl w:val="true"/>
        </w:rPr>
        <w:t>על שהיה במעצר להרתיע והוא שינה דרכיו בעקבותיו</w:t>
      </w:r>
      <w:r>
        <w:rPr>
          <w:rtl w:val="true"/>
        </w:rPr>
        <w:t xml:space="preserve">; </w:t>
      </w:r>
      <w:r>
        <w:rPr>
          <w:rtl w:val="true"/>
        </w:rPr>
        <w:t>הבעת החרטה ולקיחת האחריות</w:t>
      </w:r>
      <w:r>
        <w:rPr>
          <w:rtl w:val="true"/>
        </w:rPr>
        <w:t xml:space="preserve">; </w:t>
      </w:r>
      <w:r>
        <w:rPr>
          <w:rtl w:val="true"/>
        </w:rPr>
        <w:t>על שעברו אינו מכביד</w:t>
      </w:r>
      <w:r>
        <w:rPr>
          <w:rtl w:val="true"/>
        </w:rPr>
        <w:t xml:space="preserve">; </w:t>
      </w:r>
      <w:r>
        <w:rPr>
          <w:rtl w:val="true"/>
        </w:rPr>
        <w:t>על המצב הכלכלי הקשה בביתו שהוחמר נוכח מעצר הבית שבו שהה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 כל אלה</w:t>
      </w:r>
      <w:r>
        <w:rPr>
          <w:rtl w:val="true"/>
        </w:rPr>
        <w:t xml:space="preserve">, </w:t>
      </w:r>
      <w:r>
        <w:rPr>
          <w:rtl w:val="true"/>
        </w:rPr>
        <w:t>עתר לענישה צופת פני עתיד</w:t>
      </w:r>
      <w:r>
        <w:rPr>
          <w:rtl w:val="true"/>
        </w:rPr>
        <w:t xml:space="preserve">, </w:t>
      </w:r>
      <w:r>
        <w:rPr>
          <w:rtl w:val="true"/>
        </w:rPr>
        <w:t>ללא 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אביו של הנאשם מסר כי הוא ואשתו חולי לב וכי הנאשם דואג ומטפל בהם</w:t>
      </w:r>
      <w:r>
        <w:rPr>
          <w:rtl w:val="true"/>
        </w:rPr>
        <w:t xml:space="preserve">, </w:t>
      </w:r>
      <w:r>
        <w:rPr>
          <w:rtl w:val="true"/>
        </w:rPr>
        <w:t>והנאשם חזר וציין כי עבד עד מעצרו וכי אשתו עובדת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585" w:end="0"/>
        <w:jc w:val="both"/>
        <w:rPr/>
      </w:pPr>
      <w:r>
        <w:rPr>
          <w:rtl w:val="true"/>
        </w:rPr>
        <w:t>שקלתי את כל שהובא 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לחומרה שקלתי את טיב העבירה – החזקת נשק מסוג חזיזים צבאיים</w:t>
      </w:r>
      <w:r>
        <w:rPr>
          <w:rtl w:val="true"/>
        </w:rPr>
        <w:t xml:space="preserve">, </w:t>
      </w:r>
      <w:r>
        <w:rPr>
          <w:rtl w:val="true"/>
        </w:rPr>
        <w:t>את המסוכנות הגלומה בעבירה שכזו ואת הסכנה לשלום הציבור בהימצא חזיזים זמינים להפעלה תחת ידו של מי שאינו מורשה להחזיקם</w:t>
      </w:r>
      <w:r>
        <w:rPr>
          <w:rtl w:val="true"/>
        </w:rPr>
        <w:t xml:space="preserve">; </w:t>
      </w:r>
      <w:r>
        <w:rPr>
          <w:rtl w:val="true"/>
        </w:rPr>
        <w:t>את הסיכון שיגיעו לידי בני ביתו ומאן דהוא ייפגע</w:t>
      </w:r>
      <w:r>
        <w:rPr>
          <w:rtl w:val="true"/>
        </w:rPr>
        <w:t xml:space="preserve">; </w:t>
      </w:r>
      <w:r>
        <w:rPr>
          <w:rtl w:val="true"/>
        </w:rPr>
        <w:t>את עברו הפלילי</w:t>
      </w:r>
      <w:r>
        <w:rPr>
          <w:rtl w:val="true"/>
        </w:rPr>
        <w:t xml:space="preserve">; </w:t>
      </w:r>
      <w:r>
        <w:rPr>
          <w:rtl w:val="true"/>
        </w:rPr>
        <w:t>את העובדה כי החזיק נכסים נפיצים השייכים לגורמי הביטחון הישראליים</w:t>
      </w:r>
      <w:r>
        <w:rPr>
          <w:rtl w:val="true"/>
        </w:rPr>
        <w:t xml:space="preserve">, </w:t>
      </w:r>
      <w:r>
        <w:rPr>
          <w:rtl w:val="true"/>
        </w:rPr>
        <w:t>ללא רשות לפי דין</w:t>
      </w:r>
      <w:r>
        <w:rPr>
          <w:rtl w:val="true"/>
        </w:rPr>
        <w:t xml:space="preserve">, </w:t>
      </w:r>
      <w:r>
        <w:rPr>
          <w:rtl w:val="true"/>
        </w:rPr>
        <w:t xml:space="preserve">בדומה להחזקת נכס נפיץ אחר – בלון גז – השייך למשטרת ישראל ללא רשות לפי דין בשנת </w:t>
      </w:r>
      <w:r>
        <w:rPr/>
        <w:t>2008</w:t>
      </w:r>
      <w:r>
        <w:rPr>
          <w:rtl w:val="true"/>
        </w:rPr>
        <w:t xml:space="preserve">; </w:t>
      </w:r>
      <w:r>
        <w:rPr>
          <w:rtl w:val="true"/>
        </w:rPr>
        <w:t xml:space="preserve">את הניסיון המוכיח שהטלת מאסר מותנה בעבר </w:t>
      </w:r>
      <w:r>
        <w:rPr>
          <w:rtl w:val="true"/>
        </w:rPr>
        <w:t xml:space="preserve">- </w:t>
      </w:r>
      <w:r>
        <w:rPr>
          <w:rtl w:val="true"/>
        </w:rPr>
        <w:t>לא היה בה כדי להרתיע</w:t>
      </w:r>
      <w:r>
        <w:rPr>
          <w:rtl w:val="true"/>
        </w:rPr>
        <w:t xml:space="preserve">, </w:t>
      </w:r>
      <w:r>
        <w:rPr>
          <w:rtl w:val="true"/>
        </w:rPr>
        <w:t>לצד האינטרס הציבורי להתריע ולהרתיע</w:t>
      </w:r>
      <w:r>
        <w:rPr>
          <w:rtl w:val="true"/>
        </w:rPr>
        <w:t xml:space="preserve">; </w:t>
      </w:r>
      <w:r>
        <w:rPr>
          <w:rtl w:val="true"/>
        </w:rPr>
        <w:t>ואת הנטייה המדאיגה של הנאשם להחזיק חומרים מסוכנים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לקולא שקלתי את ההודיה והחיסכון בזמן שיפוטי</w:t>
      </w:r>
      <w:r>
        <w:rPr>
          <w:rtl w:val="true"/>
        </w:rPr>
        <w:t xml:space="preserve">; </w:t>
      </w:r>
      <w:r>
        <w:rPr>
          <w:rtl w:val="true"/>
        </w:rPr>
        <w:t xml:space="preserve">את האפשרות ששהייה במעצר במשך שבוע ומחצה  </w:t>
      </w:r>
      <w:r>
        <w:rPr>
          <w:rtl w:val="true"/>
        </w:rPr>
        <w:t xml:space="preserve">- </w:t>
      </w:r>
      <w:r>
        <w:rPr>
          <w:rtl w:val="true"/>
        </w:rPr>
        <w:t>יש בה כדי להרתיע</w:t>
      </w:r>
      <w:r>
        <w:rPr>
          <w:rtl w:val="true"/>
        </w:rPr>
        <w:t xml:space="preserve">, </w:t>
      </w:r>
      <w:r>
        <w:rPr>
          <w:rtl w:val="true"/>
        </w:rPr>
        <w:t>וכן ששהה תקופה ממשית במעצר בית</w:t>
      </w:r>
      <w:r>
        <w:rPr>
          <w:rtl w:val="true"/>
        </w:rPr>
        <w:t xml:space="preserve">, </w:t>
      </w:r>
      <w:r>
        <w:rPr>
          <w:rtl w:val="true"/>
        </w:rPr>
        <w:t>שלא הופר</w:t>
      </w:r>
      <w:r>
        <w:rPr>
          <w:rtl w:val="true"/>
        </w:rPr>
        <w:t xml:space="preserve">; </w:t>
      </w:r>
      <w:r>
        <w:rPr>
          <w:rtl w:val="true"/>
        </w:rPr>
        <w:t>את הנסיבות האישיות – היותו מפרנס עד למעצרו לצד אשתו</w:t>
      </w:r>
      <w:r>
        <w:rPr>
          <w:rtl w:val="true"/>
        </w:rPr>
        <w:t xml:space="preserve">, </w:t>
      </w:r>
      <w:r>
        <w:rPr>
          <w:rtl w:val="true"/>
        </w:rPr>
        <w:t>של שני ילדיו הקטינים</w:t>
      </w:r>
      <w:r>
        <w:rPr>
          <w:rtl w:val="true"/>
        </w:rPr>
        <w:t xml:space="preserve">, </w:t>
      </w:r>
      <w:r>
        <w:rPr>
          <w:rtl w:val="true"/>
        </w:rPr>
        <w:t>ומטופל בהורים זקנים וחולים</w:t>
      </w:r>
      <w:r>
        <w:rPr>
          <w:rtl w:val="true"/>
        </w:rPr>
        <w:t xml:space="preserve">; </w:t>
      </w:r>
      <w:r>
        <w:rPr>
          <w:rtl w:val="true"/>
        </w:rPr>
        <w:t>לעניין זה עיינתי בתדפיס פעולות בעו</w:t>
      </w:r>
      <w:r>
        <w:rPr>
          <w:rtl w:val="true"/>
        </w:rPr>
        <w:t>"</w:t>
      </w:r>
      <w:r>
        <w:rPr>
          <w:rtl w:val="true"/>
        </w:rPr>
        <w:t xml:space="preserve">ש ליום </w:t>
      </w:r>
      <w:r>
        <w:rPr/>
        <w:t>13.6.10</w:t>
      </w:r>
      <w:r>
        <w:rPr>
          <w:rtl w:val="true"/>
        </w:rPr>
        <w:t xml:space="preserve"> </w:t>
      </w:r>
      <w:r>
        <w:rPr>
          <w:rtl w:val="true"/>
        </w:rPr>
        <w:t>שהגיש הנאשם ולפיו חשבונו ביתרת חובה ובו מספר צ</w:t>
      </w:r>
      <w:r>
        <w:rPr>
          <w:rtl w:val="true"/>
        </w:rPr>
        <w:t>'</w:t>
      </w:r>
      <w:r>
        <w:rPr>
          <w:rtl w:val="true"/>
        </w:rPr>
        <w:t>קים שהוחזרו ללא כיסוי וכן היום הוצג לי תדפיס עדכני אודות מצבו הכלכלי הקשה</w:t>
      </w:r>
      <w:r>
        <w:rPr>
          <w:rtl w:val="true"/>
        </w:rPr>
        <w:t xml:space="preserve">; </w:t>
      </w:r>
      <w:r>
        <w:rPr>
          <w:rtl w:val="true"/>
        </w:rPr>
        <w:t>שמעתי את דברי אביו בדיון אודות מצבם הרפואי שלו ושל אשתו וכי בנו מטפל ודואג להם – ואת כל אלו אקח בחשבון וזאת לצד הצגת מסמך רפואי אודות נכות צמיתה של האם מטעם 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 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6491/08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אלי קודסי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של </w:t>
      </w:r>
      <w:r>
        <w:rPr/>
        <w:t>2010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92498</w:t>
      </w:r>
      <w:r>
        <w:rPr>
          <w:rtl w:val="true"/>
        </w:rPr>
        <w:t xml:space="preserve"> (</w:t>
      </w:r>
      <w:r>
        <w:rPr/>
        <w:t>2010</w:t>
      </w:r>
      <w:r>
        <w:rPr>
          <w:rtl w:val="true"/>
        </w:rPr>
        <w:t xml:space="preserve">) </w:t>
      </w:r>
      <w:r>
        <w:rPr>
          <w:rtl w:val="true"/>
        </w:rPr>
        <w:t>נגזרו על מי שהורשע לפי הודייתו במסגרת הסדר טיעון בהחזקת נשק שלא כדין – אקדח וכן עשרות חזיזים</w:t>
      </w:r>
      <w:r>
        <w:rPr>
          <w:rtl w:val="true"/>
        </w:rPr>
        <w:t xml:space="preserve">, </w:t>
      </w:r>
      <w:r>
        <w:rPr>
          <w:rtl w:val="true"/>
        </w:rPr>
        <w:t>כדורי נפץ וזיקוקים</w:t>
      </w:r>
      <w:r>
        <w:rPr>
          <w:rtl w:val="true"/>
        </w:rPr>
        <w:t xml:space="preserve">, </w:t>
      </w:r>
      <w:r>
        <w:rPr>
          <w:rtl w:val="true"/>
        </w:rPr>
        <w:t>שישה חודשי מאסר בפועל לריצוי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שישה חודשי מאסר על תנאי וקנס בסך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שם דובר במי שעברו נקי ונסיבות אישיות קשות לפי תסקיר</w:t>
      </w:r>
      <w:r>
        <w:rPr>
          <w:rtl w:val="true"/>
        </w:rPr>
        <w:t xml:space="preserve">, </w:t>
      </w:r>
      <w:r>
        <w:rPr>
          <w:rtl w:val="true"/>
        </w:rPr>
        <w:t>אשר את החזיזים</w:t>
      </w:r>
      <w:r>
        <w:rPr>
          <w:rtl w:val="true"/>
        </w:rPr>
        <w:t xml:space="preserve">, </w:t>
      </w:r>
      <w:r>
        <w:rPr>
          <w:rtl w:val="true"/>
        </w:rPr>
        <w:t>כדורי הנפץ והזיקוקים החזיק עבור אחר שהטמינם במחסנוֹ</w:t>
      </w:r>
      <w:r>
        <w:rPr>
          <w:rtl w:val="true"/>
        </w:rPr>
        <w:t>.</w:t>
      </w:r>
    </w:p>
    <w:p>
      <w:pPr>
        <w:pStyle w:val="Normal"/>
        <w:spacing w:lineRule="auto" w:line="360" w:before="0" w:after="240"/>
        <w:ind w:start="720" w:end="0"/>
        <w:jc w:val="both"/>
        <w:rPr/>
      </w:pPr>
      <w:r>
        <w:rPr>
          <w:rtl w:val="true"/>
        </w:rPr>
        <w:t>בענייננו שוני לחומרה – לנאשם עבר פלילי</w:t>
      </w:r>
      <w:r>
        <w:rPr>
          <w:rtl w:val="true"/>
        </w:rPr>
        <w:t xml:space="preserve">, </w:t>
      </w:r>
      <w:r>
        <w:rPr>
          <w:rtl w:val="true"/>
        </w:rPr>
        <w:t>לרבות בעבירה דומה באופיהּ</w:t>
      </w:r>
      <w:r>
        <w:rPr>
          <w:rtl w:val="true"/>
        </w:rPr>
        <w:t xml:space="preserve"> </w:t>
      </w:r>
      <w:r>
        <w:rPr>
          <w:rtl w:val="true"/>
        </w:rPr>
        <w:t xml:space="preserve">משנת </w:t>
      </w:r>
      <w:r>
        <w:rPr/>
        <w:t>2008</w:t>
      </w:r>
      <w:r>
        <w:rPr>
          <w:rtl w:val="true"/>
        </w:rPr>
        <w:t xml:space="preserve">: </w:t>
      </w:r>
      <w:r>
        <w:rPr>
          <w:rtl w:val="true"/>
        </w:rPr>
        <w:t xml:space="preserve">החזקת חומר נפיץ </w:t>
      </w:r>
      <w:r>
        <w:rPr>
          <w:rtl w:val="true"/>
        </w:rPr>
        <w:t xml:space="preserve">- </w:t>
      </w:r>
      <w:r>
        <w:rPr>
          <w:rtl w:val="true"/>
        </w:rPr>
        <w:t xml:space="preserve">בלון גז </w:t>
      </w:r>
      <w:r>
        <w:rPr>
          <w:rtl w:val="true"/>
        </w:rPr>
        <w:t xml:space="preserve">- </w:t>
      </w:r>
      <w:r>
        <w:rPr>
          <w:rtl w:val="true"/>
        </w:rPr>
        <w:t>השייך למשטרה והחשוד כגנוב</w:t>
      </w:r>
      <w:r>
        <w:rPr>
          <w:rtl w:val="true"/>
        </w:rPr>
        <w:t xml:space="preserve">; </w:t>
      </w:r>
      <w:r>
        <w:rPr>
          <w:rtl w:val="true"/>
        </w:rPr>
        <w:t>ושוני לקולא – לא החזיק אקדח</w:t>
      </w:r>
      <w:r>
        <w:rPr>
          <w:rtl w:val="true"/>
        </w:rPr>
        <w:t xml:space="preserve">, </w:t>
      </w:r>
      <w:r>
        <w:rPr>
          <w:rtl w:val="true"/>
        </w:rPr>
        <w:t>כדורי נפץ</w:t>
      </w:r>
      <w:r>
        <w:rPr>
          <w:rtl w:val="true"/>
        </w:rPr>
        <w:t xml:space="preserve">, </w:t>
      </w:r>
      <w:r>
        <w:rPr>
          <w:rtl w:val="true"/>
        </w:rPr>
        <w:t>זיקוקים וחזיזים</w:t>
      </w:r>
      <w:r>
        <w:rPr>
          <w:rtl w:val="true"/>
        </w:rPr>
        <w:t xml:space="preserve">, </w:t>
      </w:r>
      <w:r>
        <w:rPr>
          <w:rtl w:val="true"/>
        </w:rPr>
        <w:t>אלא חזיזים בלבד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 פי כל אלו</w:t>
      </w:r>
      <w:r>
        <w:rPr>
          <w:rtl w:val="true"/>
        </w:rPr>
        <w:t xml:space="preserve">, </w:t>
      </w:r>
      <w:r>
        <w:rPr>
          <w:rtl w:val="true"/>
        </w:rPr>
        <w:t xml:space="preserve">מוצאת אני להטיל על הנאשם מאסר לתקופה שבין </w:t>
      </w:r>
      <w:r>
        <w:rPr/>
        <w:t>6.5.10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16.5.10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תקופה מקבילה לתקופת מעצרו</w:t>
      </w:r>
      <w:r>
        <w:rPr>
          <w:rtl w:val="true"/>
        </w:rPr>
        <w:t xml:space="preserve">, </w:t>
      </w:r>
      <w:r>
        <w:rPr>
          <w:rtl w:val="true"/>
        </w:rPr>
        <w:t>וכן שלושה חודשי מאסר בפועל</w:t>
      </w:r>
      <w:r>
        <w:rPr>
          <w:rtl w:val="true"/>
        </w:rPr>
        <w:t xml:space="preserve">, </w:t>
      </w:r>
      <w:r>
        <w:rPr>
          <w:rtl w:val="true"/>
        </w:rPr>
        <w:t>שירוצו בהסכמתו שניתנה במעמד זה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במועצה מקומית ערערה צפון</w:t>
      </w:r>
      <w:r>
        <w:rPr>
          <w:rtl w:val="true"/>
        </w:rPr>
        <w:t xml:space="preserve">, </w:t>
      </w:r>
      <w:r>
        <w:rPr>
          <w:rtl w:val="true"/>
        </w:rPr>
        <w:t>בכפר ערערה</w:t>
      </w:r>
      <w:r>
        <w:rPr>
          <w:rtl w:val="true"/>
        </w:rPr>
        <w:t xml:space="preserve">, </w:t>
      </w:r>
      <w:r>
        <w:rPr>
          <w:rtl w:val="true"/>
        </w:rPr>
        <w:t>חמישה ימים 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 יומיות</w:t>
      </w:r>
      <w:r>
        <w:rPr>
          <w:rtl w:val="true"/>
        </w:rPr>
        <w:t xml:space="preserve">, </w:t>
      </w:r>
      <w:r>
        <w:rPr>
          <w:rtl w:val="true"/>
        </w:rPr>
        <w:t>בפיקוחו של חלבי אמל</w:t>
      </w:r>
      <w:r>
        <w:rPr>
          <w:rtl w:val="true"/>
        </w:rPr>
        <w:t xml:space="preserve">, </w:t>
      </w:r>
      <w:r>
        <w:rPr>
          <w:rtl w:val="true"/>
        </w:rPr>
        <w:t xml:space="preserve">טלפון </w:t>
      </w:r>
      <w:r>
        <w:rPr/>
        <w:t>050-6278504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15.12.10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בתאריך זה בשעה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>יתייצב הנאשם לצורך קליטה והצבה במפקדת מחוז צפון</w:t>
      </w:r>
      <w:r>
        <w:rPr>
          <w:rtl w:val="true"/>
        </w:rPr>
        <w:t xml:space="preserve">, </w:t>
      </w:r>
      <w:r>
        <w:rPr>
          <w:rtl w:val="true"/>
        </w:rPr>
        <w:t>יחידת עבודות שירות ת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/>
        <w:t>4136</w:t>
      </w:r>
      <w:r>
        <w:rPr>
          <w:rtl w:val="true"/>
        </w:rPr>
        <w:t xml:space="preserve"> </w:t>
      </w:r>
      <w:r>
        <w:rPr>
          <w:rtl w:val="true"/>
        </w:rPr>
        <w:t>כפר מג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tl w:val="true"/>
        </w:rPr>
        <w:t xml:space="preserve">, </w:t>
      </w:r>
      <w:r>
        <w:rPr>
          <w:rtl w:val="true"/>
        </w:rPr>
        <w:t>אוטובוס מתחנה מרכזית טבריה</w:t>
      </w:r>
      <w:r>
        <w:rPr>
          <w:rtl w:val="true"/>
        </w:rPr>
        <w:t>/</w:t>
      </w:r>
      <w:r>
        <w:rPr>
          <w:rtl w:val="true"/>
        </w:rPr>
        <w:t xml:space="preserve">כרמיאל קו </w:t>
      </w:r>
      <w:r>
        <w:rPr/>
        <w:t>56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הוסבר לנאשם כי עליו לעדכן את משרד הממונה בכל שינוי</w:t>
      </w:r>
      <w:r>
        <w:rPr>
          <w:rtl w:val="true"/>
        </w:rPr>
        <w:t xml:space="preserve">, </w:t>
      </w:r>
      <w:r>
        <w:rPr>
          <w:rtl w:val="true"/>
        </w:rPr>
        <w:t>אם יחול</w:t>
      </w:r>
      <w:r>
        <w:rPr>
          <w:rtl w:val="true"/>
        </w:rPr>
        <w:t xml:space="preserve">, </w:t>
      </w:r>
      <w:r>
        <w:rPr>
          <w:rtl w:val="true"/>
        </w:rPr>
        <w:t>בכתובת מגוריו</w:t>
      </w:r>
      <w:r>
        <w:rPr>
          <w:rtl w:val="true"/>
        </w:rPr>
        <w:t xml:space="preserve">, </w:t>
      </w:r>
      <w:r>
        <w:rPr>
          <w:rtl w:val="true"/>
        </w:rPr>
        <w:t>וכן שעליו לעמוד בתנאי הפיקוח וביקורות פתע וכי כל הפרה בעבודות השירות עלולה להביא להפסקה מנהלית ולריצוי יתרת העונש במאסר 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מוטלים עשרה חודשי מאסר על תנאי</w:t>
      </w:r>
      <w:r>
        <w:rPr>
          <w:rtl w:val="true"/>
        </w:rPr>
        <w:t xml:space="preserve">, </w:t>
      </w:r>
      <w:r>
        <w:rPr>
          <w:rtl w:val="true"/>
        </w:rPr>
        <w:t>אותם לא יישא אלא אם בתוך שלוש שנים מהיום יחזור ויעבור על העבירה בה הורשע</w:t>
      </w:r>
      <w:r>
        <w:rPr>
          <w:rtl w:val="true"/>
        </w:rPr>
        <w:t xml:space="preserve">, </w:t>
      </w:r>
      <w:r>
        <w:rPr>
          <w:rtl w:val="true"/>
        </w:rPr>
        <w:t>סיוע או ניסיון לעוברה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אני מטילה על הנאשם בהתחשב במצבו הכלכלי קנס בגובה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או שלושה חודשי מאסר תחתיו</w:t>
      </w:r>
      <w:r>
        <w:rPr>
          <w:rtl w:val="true"/>
        </w:rPr>
        <w:t xml:space="preserve">; </w:t>
      </w:r>
      <w:r>
        <w:rPr>
          <w:rtl w:val="true"/>
        </w:rPr>
        <w:t xml:space="preserve">וכן תיחתם התחייבות בגובה </w:t>
      </w:r>
      <w:r>
        <w:rPr/>
        <w:t>4,000</w:t>
      </w:r>
      <w:r>
        <w:rPr>
          <w:rtl w:val="true"/>
        </w:rPr>
        <w:t xml:space="preserve"> ₪, </w:t>
      </w:r>
      <w:r>
        <w:rPr>
          <w:rtl w:val="true"/>
        </w:rPr>
        <w:t>תנאיה כפי התנאי שהוטל</w:t>
      </w:r>
      <w:r>
        <w:rPr>
          <w:rtl w:val="true"/>
        </w:rPr>
        <w:t xml:space="preserve">, </w:t>
      </w:r>
      <w:r>
        <w:rPr>
          <w:rtl w:val="true"/>
        </w:rPr>
        <w:t>ואם לא תיחתם ירַצה שבעה ימי 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הנשק  </w:t>
      </w:r>
      <w:r>
        <w:rPr>
          <w:rtl w:val="true"/>
        </w:rPr>
        <w:t xml:space="preserve">- </w:t>
      </w:r>
      <w:r>
        <w:rPr>
          <w:rtl w:val="true"/>
        </w:rPr>
        <w:t>יחולט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שניתנת במעמד זה</w:t>
      </w:r>
      <w:r>
        <w:rPr>
          <w:rtl w:val="true"/>
        </w:rPr>
        <w:t xml:space="preserve">, </w:t>
      </w:r>
      <w:r>
        <w:rPr>
          <w:rtl w:val="true"/>
        </w:rPr>
        <w:t xml:space="preserve">פיקדון שנמצא בתיק בגובה </w:t>
      </w:r>
      <w:r>
        <w:rPr/>
        <w:t>2500</w:t>
      </w:r>
      <w:r>
        <w:rPr>
          <w:rtl w:val="true"/>
        </w:rPr>
        <w:t xml:space="preserve"> ₪ </w:t>
      </w:r>
      <w:r>
        <w:rPr>
          <w:rtl w:val="true"/>
        </w:rPr>
        <w:t>יקוזז מהקנס</w:t>
      </w:r>
      <w:r>
        <w:rPr>
          <w:rtl w:val="true"/>
        </w:rPr>
        <w:t xml:space="preserve">. </w:t>
      </w:r>
      <w:r>
        <w:rPr>
          <w:rtl w:val="true"/>
        </w:rPr>
        <w:t xml:space="preserve">יתרת הקנס בגובה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תשולם חודש לאחר תום ריצוי המאסר 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double"/>
        </w:rPr>
      </w:pPr>
      <w:r>
        <w:rPr>
          <w:b/>
          <w:b/>
          <w:bCs/>
          <w:u w:val="double"/>
          <w:rtl w:val="true"/>
        </w:rPr>
        <w:t xml:space="preserve">זכות ערעור לבית המשפט המחוזי תוך </w:t>
      </w:r>
      <w:r>
        <w:rPr>
          <w:b/>
          <w:bCs/>
          <w:u w:val="double"/>
        </w:rPr>
        <w:t>45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>יום</w:t>
      </w:r>
      <w:r>
        <w:rPr>
          <w:b/>
          <w:bCs/>
          <w:u w:val="doub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09/12/2010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 און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 נשיאה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קופרמן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26356-05-10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מחאג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6491/08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2013-07-07T11:53:00Z</dcterms:created>
  <dc:creator> </dc:creator>
  <dc:description/>
  <cp:keywords/>
  <dc:language>en-IL</dc:language>
  <cp:lastModifiedBy>hofit</cp:lastModifiedBy>
  <dcterms:modified xsi:type="dcterms:W3CDTF">2013-07-07T11:53:00Z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מחאג'נה</vt:lpwstr>
  </property>
  <property fmtid="{D5CDD505-2E9C-101B-9397-08002B2CF9AE}" pid="4" name="CITY">
    <vt:lpwstr>פ"ת</vt:lpwstr>
  </property>
  <property fmtid="{D5CDD505-2E9C-101B-9397-08002B2CF9AE}" pid="5" name="DATE">
    <vt:lpwstr>20101209</vt:lpwstr>
  </property>
  <property fmtid="{D5CDD505-2E9C-101B-9397-08002B2CF9AE}" pid="6" name="ISABSTRACT">
    <vt:lpwstr>Y</vt:lpwstr>
  </property>
  <property fmtid="{D5CDD505-2E9C-101B-9397-08002B2CF9AE}" pid="7" name="JUDGE">
    <vt:lpwstr>ליה לב און</vt:lpwstr>
  </property>
  <property fmtid="{D5CDD505-2E9C-101B-9397-08002B2CF9AE}" pid="8" name="LAWYER">
    <vt:lpwstr>;ו מוחמד מג'אדלה</vt:lpwstr>
  </property>
  <property fmtid="{D5CDD505-2E9C-101B-9397-08002B2CF9AE}" pid="9" name="NEWPARTA">
    <vt:lpwstr>26356</vt:lpwstr>
  </property>
  <property fmtid="{D5CDD505-2E9C-101B-9397-08002B2CF9AE}" pid="10" name="NEWPARTB">
    <vt:lpwstr>05</vt:lpwstr>
  </property>
  <property fmtid="{D5CDD505-2E9C-101B-9397-08002B2CF9AE}" pid="11" name="NEWPARTC">
    <vt:lpwstr>10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380020101209</vt:lpwstr>
  </property>
  <property fmtid="{D5CDD505-2E9C-101B-9397-08002B2CF9AE}" pid="16" name="TYPE_N_DATE">
    <vt:lpwstr>38020101209</vt:lpwstr>
  </property>
  <property fmtid="{D5CDD505-2E9C-101B-9397-08002B2CF9AE}" pid="17" name="WORDNUMPAGES">
    <vt:lpwstr>3</vt:lpwstr>
  </property>
</Properties>
</file>