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26360-09-10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 נצאצרה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26371-09-10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 עמי קובו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אמיר אל נצאצרה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עינת ביר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כץ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ארי קדרי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הובא על ידי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על פי הודאתו בעבירה של החזקת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 וסיפא 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האמור בכתב האישום אשר בו הודה הנאשם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25.10.09</w:t>
      </w:r>
      <w:r>
        <w:rPr>
          <w:rtl w:val="true"/>
        </w:rPr>
        <w:t xml:space="preserve"> </w:t>
      </w:r>
      <w:r>
        <w:rPr>
          <w:rtl w:val="true"/>
        </w:rPr>
        <w:t xml:space="preserve">נמצא בחצר ביתו של הנאשם 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ל מסוג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אשר הוחזק על ידו מוסלק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הצדדים הגיעו להסדר טיעון לפיו עתרו במשותף לעונש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כאשר המאשימה עתרה לקנס משמעותי</w:t>
      </w:r>
      <w:r>
        <w:rPr>
          <w:rtl w:val="true"/>
        </w:rPr>
        <w:t xml:space="preserve">, </w:t>
      </w:r>
      <w:r>
        <w:rPr>
          <w:rtl w:val="true"/>
        </w:rPr>
        <w:t>וההגנה ביקשה להסתפק בקנס מתון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ששקלתי את טיעוני הצדדים</w:t>
      </w:r>
      <w:r>
        <w:rPr>
          <w:rtl w:val="true"/>
        </w:rPr>
        <w:t xml:space="preserve">, </w:t>
      </w:r>
      <w:r>
        <w:rPr>
          <w:rtl w:val="true"/>
        </w:rPr>
        <w:t>סבורני כי הסדר הטיעון ראוי ומאוזן ולפיכך אכבדו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לתקופת המאסר</w:t>
      </w:r>
      <w:r>
        <w:rPr>
          <w:rtl w:val="true"/>
        </w:rPr>
        <w:t xml:space="preserve">, </w:t>
      </w:r>
      <w:r>
        <w:rPr>
          <w:rtl w:val="true"/>
        </w:rPr>
        <w:t>הסדר הטיעון אכן לוקח בחשבון את מכלול נסיבות האירוע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השיקולים לחומרה</w:t>
      </w:r>
      <w:r>
        <w:rPr>
          <w:rtl w:val="true"/>
        </w:rPr>
        <w:t xml:space="preserve">, </w:t>
      </w:r>
      <w:r>
        <w:rPr>
          <w:rtl w:val="true"/>
        </w:rPr>
        <w:t>יש לציין את עברו הפלילי המכביד של הנאשם אשר כולל עבירות סמים ורכוש מגוונות</w:t>
      </w:r>
      <w:r>
        <w:rPr>
          <w:rtl w:val="true"/>
        </w:rPr>
        <w:t xml:space="preserve">. </w:t>
      </w:r>
      <w:r>
        <w:rPr>
          <w:rtl w:val="true"/>
        </w:rPr>
        <w:t>לחובתו של הנאשם תשע הרשעות קודמות</w:t>
      </w:r>
      <w:r>
        <w:rPr>
          <w:rtl w:val="true"/>
        </w:rPr>
        <w:t xml:space="preserve">, </w:t>
      </w:r>
      <w:r>
        <w:rPr>
          <w:rtl w:val="true"/>
        </w:rPr>
        <w:t>והנאשם אף ריצה עונשי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קיימת חומרה יתרה לביצוע עבירת נשק</w:t>
      </w:r>
      <w:r>
        <w:rPr>
          <w:rtl w:val="true"/>
        </w:rPr>
        <w:t xml:space="preserve">, </w:t>
      </w:r>
      <w:r>
        <w:rPr>
          <w:rtl w:val="true"/>
        </w:rPr>
        <w:t>כאשר מדובר במי שלחובתו עבר פלילי 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בנוגע לסוגיית הקנס</w:t>
      </w:r>
      <w:r>
        <w:rPr>
          <w:rtl w:val="true"/>
        </w:rPr>
        <w:t xml:space="preserve">, </w:t>
      </w:r>
      <w:r>
        <w:rPr>
          <w:rtl w:val="true"/>
        </w:rPr>
        <w:t>סבורני כי יש מקום להטיל על הנאשם קנס ממשי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אני לוקח בחשבון את טיעוני בא כוח הנאשם בדבר נסיבות חייו הקשות של הנאשם</w:t>
      </w:r>
      <w:r>
        <w:rPr>
          <w:rtl w:val="true"/>
        </w:rPr>
        <w:t xml:space="preserve">, </w:t>
      </w:r>
      <w:r>
        <w:rPr>
          <w:rtl w:val="true"/>
        </w:rPr>
        <w:t>היותו מפרנס את משפחתו והמאסר אשר מוטל עליו אשר יש להניח שיקשה על תשלום 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אחד</w:t>
      </w:r>
      <w:r>
        <w:rPr>
          <w:rtl w:val="true"/>
        </w:rPr>
        <w:t xml:space="preserve">- </w:t>
      </w:r>
      <w:r>
        <w:rPr>
          <w:rtl w:val="true"/>
        </w:rPr>
        <w:t>עשר חודשי מאסר בפועל שמניינם החל מיום מעצרו</w:t>
      </w:r>
      <w:r>
        <w:rPr>
          <w:rtl w:val="true"/>
        </w:rPr>
        <w:t xml:space="preserve">- </w:t>
      </w:r>
      <w:r>
        <w:rPr/>
        <w:t>14.9.10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מתקופה זו ינוכו שלושה ימי מעצר שבהם היה עצור הנאשם בגין תיק זה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25.10.09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28.10.09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שישה חודשי מאסר על תנאי לבל יעבור הנאשם במשך שלוש שנים מיום שחרורו מן המאסר כל עבירה הנוגעת לנשק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קנס כספי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או חודש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ככל שקיימת הפקדה שהפקיד הנאשם ב</w:t>
      </w:r>
      <w:r>
        <w:rPr>
          <w:rtl w:val="true"/>
        </w:rPr>
        <w:t xml:space="preserve">- </w:t>
      </w:r>
      <w:hyperlink r:id="rId5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י </w:t>
        </w:r>
        <w:r>
          <w:rPr>
            <w:rStyle w:val="Hyperlink"/>
            <w:color w:val="0000FF"/>
            <w:u w:val="single"/>
          </w:rPr>
          <w:t>23730-10-09</w:t>
        </w:r>
      </w:hyperlink>
      <w:r>
        <w:rPr>
          <w:rtl w:val="true"/>
        </w:rPr>
        <w:t xml:space="preserve"> </w:t>
      </w:r>
      <w:r>
        <w:rPr>
          <w:rtl w:val="true"/>
        </w:rPr>
        <w:t>הרי שהפקדה זו תשמש לפירעון הקנס לבקשת הנאשם</w:t>
      </w:r>
      <w:r>
        <w:rPr>
          <w:rtl w:val="true"/>
        </w:rPr>
        <w:t xml:space="preserve">. </w:t>
      </w:r>
      <w:r>
        <w:rPr>
          <w:rtl w:val="true"/>
        </w:rPr>
        <w:t>היתרה תשולם על ידי הנאשם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מיום </w:t>
      </w:r>
      <w:r>
        <w:rPr/>
        <w:t>1.12.10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הנשק והתחמושת יחולטו או יושמדו לפי שיקול דעת 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לבית המשפט המחוזי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10/10/2010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/Users/liorb/Downloads/study2025-p2/SH-10-09-26360-118.doc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26360-09-10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אמיר אל נצאצרה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LineNumber">
    <w:name w:val="lin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NEWPROC=&#1502;&#1497;&amp;NEWPARTA=09&amp;NEWPARTB=10&amp;NEWPARTC=23730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2010-10-11T02:41:00Z</dcterms:created>
  <dc:creator> </dc:creator>
  <dc:description/>
  <cp:keywords/>
  <dc:language>en-IL</dc:language>
  <cp:lastModifiedBy>Anat</cp:lastModifiedBy>
  <dcterms:modified xsi:type="dcterms:W3CDTF">2010-10-11T02:41:00Z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אל נצאצרה</vt:lpwstr>
  </property>
  <property fmtid="{D5CDD505-2E9C-101B-9397-08002B2CF9AE}" pid="4" name="CITY">
    <vt:lpwstr>רמ'</vt:lpwstr>
  </property>
  <property fmtid="{D5CDD505-2E9C-101B-9397-08002B2CF9AE}" pid="5" name="DATE">
    <vt:lpwstr>20101010</vt:lpwstr>
  </property>
  <property fmtid="{D5CDD505-2E9C-101B-9397-08002B2CF9AE}" pid="6" name="JUDGE">
    <vt:lpwstr>ד"ר עמי קובו</vt:lpwstr>
  </property>
  <property fmtid="{D5CDD505-2E9C-101B-9397-08002B2CF9AE}" pid="7" name="LAWYER">
    <vt:lpwstr>עינת ביר כץ;ארי קדרי</vt:lpwstr>
  </property>
  <property fmtid="{D5CDD505-2E9C-101B-9397-08002B2CF9AE}" pid="8" name="NEWPARTA">
    <vt:lpwstr>26360</vt:lpwstr>
  </property>
  <property fmtid="{D5CDD505-2E9C-101B-9397-08002B2CF9AE}" pid="9" name="NEWPARTB">
    <vt:lpwstr>09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09 26360 118 htm</vt:lpwstr>
  </property>
  <property fmtid="{D5CDD505-2E9C-101B-9397-08002B2CF9AE}" pid="14" name="TYPE">
    <vt:lpwstr>3</vt:lpwstr>
  </property>
  <property fmtid="{D5CDD505-2E9C-101B-9397-08002B2CF9AE}" pid="15" name="TYPE_ABS_DATE">
    <vt:lpwstr>380020101010</vt:lpwstr>
  </property>
  <property fmtid="{D5CDD505-2E9C-101B-9397-08002B2CF9AE}" pid="16" name="TYPE_N_DATE">
    <vt:lpwstr>38020101010</vt:lpwstr>
  </property>
  <property fmtid="{D5CDD505-2E9C-101B-9397-08002B2CF9AE}" pid="17" name="WORDNUMPAGES">
    <vt:lpwstr>2</vt:lpwstr>
  </property>
</Properties>
</file>