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26406-10-11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סיפלו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/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26428-10-11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איוון סיפלו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יעל לב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הילי ברגמן מתמחה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סרי רותם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</w:t>
      </w:r>
      <w:r>
        <w:rPr>
          <w:b w:val="false"/>
          <w:b w:val="false"/>
          <w:bCs w:val="false"/>
          <w:u w:val="none"/>
          <w:rtl w:val="true"/>
        </w:rPr>
        <w:t xml:space="preserve">מת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יעל לב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הובאה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3" w:name="PsakDin"/>
      <w:bookmarkEnd w:id="3"/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Times New Roman" w:hAnsi="Times New Roman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Times New Roman" w:hAnsi="Times New Roman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הנאשמת הורשעה על פי הודייתה בכתב האישום המתוקן ואשר האישום הראשון והשלישי שבו מתייחסים אליה</w:t>
      </w:r>
      <w:r>
        <w:rPr>
          <w:rtl w:val="true"/>
        </w:rPr>
        <w:t xml:space="preserve">. </w:t>
      </w:r>
      <w:r>
        <w:rPr>
          <w:rtl w:val="true"/>
        </w:rPr>
        <w:t xml:space="preserve">לפי האישום הראשון החל מחודש אפריל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נהגה הנאשמת לצרוך לשימושה העצמי סם מסוכן מסוג חשיש בהזדמנויות שונות</w:t>
      </w:r>
      <w:r>
        <w:rPr>
          <w:rtl w:val="true"/>
        </w:rPr>
        <w:t xml:space="preserve">, </w:t>
      </w:r>
      <w:r>
        <w:rPr>
          <w:rtl w:val="true"/>
        </w:rPr>
        <w:t>בכמויות שאינן ידועות למאשימה</w:t>
      </w:r>
      <w:bookmarkStart w:id="7" w:name="ABSTRACT_END"/>
      <w:bookmarkEnd w:id="7"/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במהלך החודשים אוגוסט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ועד אוקטובר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נהגה הנאשמת ובגיר נוסף לעשן סם מסוכן מסוג חשיש עם קטינים שונים</w:t>
      </w:r>
      <w:r>
        <w:rPr>
          <w:rtl w:val="true"/>
        </w:rPr>
        <w:t xml:space="preserve">, </w:t>
      </w:r>
      <w:r>
        <w:rPr>
          <w:rtl w:val="true"/>
        </w:rPr>
        <w:t>וביניהם קטינה בשם ר</w:t>
      </w:r>
      <w:r>
        <w:rPr>
          <w:rtl w:val="true"/>
        </w:rPr>
        <w:t xml:space="preserve">' </w:t>
      </w:r>
      <w:r>
        <w:rPr>
          <w:rtl w:val="true"/>
        </w:rPr>
        <w:t xml:space="preserve">ילידת שנת 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 xml:space="preserve">להלן </w:t>
      </w:r>
      <w:r>
        <w:rPr>
          <w:rtl w:val="true"/>
        </w:rPr>
        <w:t xml:space="preserve">-  </w:t>
      </w:r>
      <w:r>
        <w:rPr>
          <w:b/>
          <w:b/>
          <w:bCs/>
          <w:rtl w:val="true"/>
        </w:rPr>
        <w:t>הקטינה ר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בכמויות שאינן ידועות במדויק למאשימה</w:t>
      </w:r>
      <w:r>
        <w:rPr>
          <w:rtl w:val="true"/>
        </w:rPr>
        <w:t xml:space="preserve">. </w:t>
      </w:r>
      <w:r>
        <w:rPr>
          <w:rtl w:val="true"/>
        </w:rPr>
        <w:t>בחלק מאותם מקרים נהגה הנאשמת לשתף את הקטינים בסמים אותם עישנו עימם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הבגיר הנוסף והקטינים נהגו לעשן בביתו של הבגיר הנוסף</w:t>
      </w:r>
      <w:r>
        <w:rPr>
          <w:rtl w:val="true"/>
        </w:rPr>
        <w:t xml:space="preserve">, </w:t>
      </w:r>
      <w:r>
        <w:rPr>
          <w:rtl w:val="true"/>
        </w:rPr>
        <w:t>בבתי ספר בעיר לוד וכן באזורים שונים בעיר לוד</w:t>
      </w:r>
      <w:r>
        <w:rPr>
          <w:rtl w:val="true"/>
        </w:rPr>
        <w:t xml:space="preserve">. </w:t>
      </w:r>
      <w:r>
        <w:rPr>
          <w:rtl w:val="true"/>
        </w:rPr>
        <w:t xml:space="preserve">בגין האישום הראשון הנאשמת הורשעה בביצוע עבירה של שימוש בסם מסוכן לצריכה עצמית לפי סעיפים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ג –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 xml:space="preserve">וכן בעבירה של הדחת קטין לסמים מסוכנים לפי סעיף </w:t>
      </w:r>
      <w:r>
        <w:rPr/>
        <w:t>21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הנאשמת נעצרה ביום </w:t>
      </w:r>
      <w:r>
        <w:rPr/>
        <w:t>16.10.11</w:t>
      </w:r>
      <w:r>
        <w:rPr>
          <w:rtl w:val="true"/>
        </w:rPr>
        <w:t xml:space="preserve"> </w:t>
      </w:r>
      <w:r>
        <w:rPr>
          <w:rtl w:val="true"/>
        </w:rPr>
        <w:t>בגין העבירות המתוארות באישום הראשון</w:t>
      </w:r>
      <w:r>
        <w:rPr>
          <w:rtl w:val="true"/>
        </w:rPr>
        <w:t xml:space="preserve">. </w:t>
      </w:r>
      <w:r>
        <w:rPr>
          <w:rtl w:val="true"/>
        </w:rPr>
        <w:t xml:space="preserve">לפי האישום השלישי בתאריך </w:t>
      </w:r>
      <w:r>
        <w:rPr/>
        <w:t>23.10.11</w:t>
      </w:r>
      <w:r>
        <w:rPr>
          <w:rtl w:val="true"/>
        </w:rPr>
        <w:t xml:space="preserve"> </w:t>
      </w:r>
      <w:r>
        <w:rPr>
          <w:rtl w:val="true"/>
        </w:rPr>
        <w:t>שוחררה הנאשמת למעצר בית מלא בפיקוח אמה</w:t>
      </w:r>
      <w:r>
        <w:rPr>
          <w:rtl w:val="true"/>
        </w:rPr>
        <w:t xml:space="preserve">, </w:t>
      </w:r>
      <w:r>
        <w:rPr>
          <w:rtl w:val="true"/>
        </w:rPr>
        <w:t>וזאת על פי החלטת בית המשפט השלום ברמלה ב</w:t>
      </w:r>
      <w:r>
        <w:rPr>
          <w:rtl w:val="true"/>
        </w:rPr>
        <w:t>-</w:t>
      </w:r>
      <w:hyperlink r:id="rId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26428-10-11</w:t>
        </w:r>
      </w:hyperlink>
      <w:r>
        <w:rPr>
          <w:rtl w:val="true"/>
        </w:rPr>
        <w:t xml:space="preserve">. </w:t>
      </w:r>
      <w:r>
        <w:rPr>
          <w:rtl w:val="true"/>
        </w:rPr>
        <w:t>לאחר שיצאה הנאשמת מבית המשפט ובדרכה לכתובת מעצר הבית שאליה שוחררה הבחינה בקטינה ר</w:t>
      </w:r>
      <w:r>
        <w:rPr>
          <w:rtl w:val="true"/>
        </w:rPr>
        <w:t xml:space="preserve">' </w:t>
      </w:r>
      <w:r>
        <w:rPr>
          <w:rtl w:val="true"/>
        </w:rPr>
        <w:t>מתהלכת ברחוב בלוד</w:t>
      </w:r>
      <w:r>
        <w:rPr>
          <w:rtl w:val="true"/>
        </w:rPr>
        <w:t xml:space="preserve">. </w:t>
      </w:r>
      <w:r>
        <w:rPr>
          <w:rtl w:val="true"/>
        </w:rPr>
        <w:t>הנאשמת תפסה את הקטינה ר</w:t>
      </w:r>
      <w:r>
        <w:rPr>
          <w:rtl w:val="true"/>
        </w:rPr>
        <w:t xml:space="preserve">' </w:t>
      </w:r>
      <w:r>
        <w:rPr>
          <w:rtl w:val="true"/>
        </w:rPr>
        <w:t>מאחור בפניה ובצווארה בעזרת ידיה</w:t>
      </w:r>
      <w:r>
        <w:rPr>
          <w:rtl w:val="true"/>
        </w:rPr>
        <w:t xml:space="preserve">, </w:t>
      </w:r>
      <w:r>
        <w:rPr>
          <w:rtl w:val="true"/>
        </w:rPr>
        <w:t>היכתה אותה באוזנה וסטרה לה</w:t>
      </w:r>
      <w:r>
        <w:rPr>
          <w:rtl w:val="true"/>
        </w:rPr>
        <w:t xml:space="preserve">, </w:t>
      </w:r>
      <w:r>
        <w:rPr>
          <w:rtl w:val="true"/>
        </w:rPr>
        <w:t>תוך כדי שאמה מנסה למשוך אותה מהקטינה ר</w:t>
      </w:r>
      <w:r>
        <w:rPr>
          <w:rtl w:val="true"/>
        </w:rPr>
        <w:t>' 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התקיפה</w:t>
      </w:r>
      <w:r>
        <w:rPr>
          <w:rtl w:val="true"/>
        </w:rPr>
        <w:t xml:space="preserve">). </w:t>
      </w:r>
      <w:r>
        <w:rPr>
          <w:rtl w:val="true"/>
        </w:rPr>
        <w:t>במהלך התקיפה קיללה הנאשמת את ר</w:t>
      </w:r>
      <w:r>
        <w:rPr>
          <w:rtl w:val="true"/>
        </w:rPr>
        <w:t xml:space="preserve">' </w:t>
      </w:r>
      <w:r>
        <w:rPr>
          <w:rtl w:val="true"/>
        </w:rPr>
        <w:t xml:space="preserve">ואמרה לה </w:t>
      </w:r>
      <w:r>
        <w:rPr>
          <w:rtl w:val="true"/>
        </w:rPr>
        <w:t>: "</w:t>
      </w:r>
      <w:r>
        <w:rPr>
          <w:rtl w:val="true"/>
        </w:rPr>
        <w:t>בגללך ישבתי שבוע יא זונה בת זונה</w:t>
      </w:r>
      <w:r>
        <w:rPr>
          <w:rtl w:val="true"/>
        </w:rPr>
        <w:t xml:space="preserve">, </w:t>
      </w:r>
      <w:r>
        <w:rPr>
          <w:rtl w:val="true"/>
        </w:rPr>
        <w:t>שרמוטה</w:t>
      </w:r>
      <w:r>
        <w:rPr>
          <w:rtl w:val="true"/>
        </w:rPr>
        <w:t xml:space="preserve">". </w:t>
      </w:r>
      <w:r>
        <w:rPr>
          <w:rtl w:val="true"/>
        </w:rPr>
        <w:t>הנאשמת הוסיפה כי הקטינה ר</w:t>
      </w:r>
      <w:r>
        <w:rPr>
          <w:rtl w:val="true"/>
        </w:rPr>
        <w:t xml:space="preserve">' </w:t>
      </w:r>
      <w:r>
        <w:rPr>
          <w:rtl w:val="true"/>
        </w:rPr>
        <w:t>תשלם על כל מה שקרה</w:t>
      </w:r>
      <w:r>
        <w:rPr>
          <w:rtl w:val="true"/>
        </w:rPr>
        <w:t xml:space="preserve">. </w:t>
      </w:r>
      <w:r>
        <w:rPr>
          <w:rtl w:val="true"/>
        </w:rPr>
        <w:t>כתוצאה מהתקיפה נשברו לקטינה ר</w:t>
      </w:r>
      <w:r>
        <w:rPr>
          <w:rtl w:val="true"/>
        </w:rPr>
        <w:t xml:space="preserve">' </w:t>
      </w:r>
      <w:r>
        <w:rPr>
          <w:rtl w:val="true"/>
        </w:rPr>
        <w:t>שלוש ציפורניים ביד</w:t>
      </w:r>
      <w:r>
        <w:rPr>
          <w:rtl w:val="true"/>
        </w:rPr>
        <w:t xml:space="preserve">. </w:t>
      </w:r>
      <w:r>
        <w:rPr>
          <w:rtl w:val="true"/>
        </w:rPr>
        <w:t>בהמשך היום כתבה הנאשמת לקטינה ר</w:t>
      </w:r>
      <w:r>
        <w:rPr>
          <w:rtl w:val="true"/>
        </w:rPr>
        <w:t xml:space="preserve">' </w:t>
      </w:r>
      <w:r>
        <w:rPr>
          <w:rtl w:val="true"/>
        </w:rPr>
        <w:t xml:space="preserve">ברשת החברתית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 xml:space="preserve">באינטרנט </w:t>
      </w:r>
      <w:r>
        <w:rPr>
          <w:rtl w:val="true"/>
        </w:rPr>
        <w:t>: "</w:t>
      </w:r>
      <w:r>
        <w:rPr>
          <w:rtl w:val="true"/>
        </w:rPr>
        <w:t>סמויה</w:t>
      </w:r>
      <w:r>
        <w:rPr>
          <w:rtl w:val="true"/>
        </w:rPr>
        <w:t xml:space="preserve">, </w:t>
      </w:r>
      <w:r>
        <w:rPr>
          <w:rtl w:val="true"/>
        </w:rPr>
        <w:t>עוד לא סיימתי איתך</w:t>
      </w:r>
      <w:r>
        <w:rPr>
          <w:rtl w:val="true"/>
        </w:rPr>
        <w:t xml:space="preserve">, </w:t>
      </w:r>
      <w:r>
        <w:rPr>
          <w:rtl w:val="true"/>
        </w:rPr>
        <w:t xml:space="preserve">חכי חכי אני אפיל אותך על זה שאת שותפה עם </w:t>
      </w:r>
      <w:r>
        <w:rPr>
          <w:rtl w:val="true"/>
        </w:rPr>
        <w:t>[</w:t>
      </w:r>
      <w:r>
        <w:rPr>
          <w:rtl w:val="true"/>
        </w:rPr>
        <w:t>שמו של פלוני</w:t>
      </w:r>
      <w:r>
        <w:rPr>
          <w:rtl w:val="true"/>
        </w:rPr>
        <w:t xml:space="preserve">]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 xml:space="preserve">באמא שלי עד גיל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תהיי במוסד</w:t>
      </w:r>
      <w:r>
        <w:rPr>
          <w:rtl w:val="true"/>
        </w:rPr>
        <w:t xml:space="preserve">. </w:t>
      </w:r>
      <w:r>
        <w:rPr>
          <w:rtl w:val="true"/>
        </w:rPr>
        <w:t>לכי</w:t>
      </w:r>
      <w:r>
        <w:rPr>
          <w:rtl w:val="true"/>
        </w:rPr>
        <w:t xml:space="preserve">, </w:t>
      </w:r>
      <w:r>
        <w:rPr>
          <w:rtl w:val="true"/>
        </w:rPr>
        <w:t>נו רוצי</w:t>
      </w:r>
      <w:r>
        <w:rPr>
          <w:rtl w:val="true"/>
        </w:rPr>
        <w:t xml:space="preserve">, </w:t>
      </w:r>
      <w:r>
        <w:rPr>
          <w:rtl w:val="true"/>
        </w:rPr>
        <w:t>החבר הכי טוב שלך שוטרת יא בת זונה</w:t>
      </w:r>
      <w:r>
        <w:rPr>
          <w:rtl w:val="true"/>
        </w:rPr>
        <w:t xml:space="preserve">. </w:t>
      </w:r>
      <w:r>
        <w:rPr>
          <w:rtl w:val="true"/>
        </w:rPr>
        <w:t>אני אבוא לאמא שלך שתשלם לי על עורך הדין</w:t>
      </w:r>
      <w:r>
        <w:rPr>
          <w:rtl w:val="true"/>
        </w:rPr>
        <w:t xml:space="preserve">". </w:t>
      </w:r>
      <w:r>
        <w:rPr>
          <w:rtl w:val="true"/>
        </w:rPr>
        <w:t>בהמשך כתבה הנאשמת ב</w:t>
      </w:r>
      <w:r>
        <w:rPr>
          <w:rtl w:val="true"/>
        </w:rPr>
        <w:t>-"</w:t>
      </w:r>
      <w:r>
        <w:rPr>
          <w:rtl w:val="true"/>
        </w:rPr>
        <w:t>פייסבוק</w:t>
      </w:r>
      <w:r>
        <w:rPr>
          <w:rtl w:val="true"/>
        </w:rPr>
        <w:t>" : "</w:t>
      </w:r>
      <w:r>
        <w:rPr>
          <w:rtl w:val="true"/>
        </w:rPr>
        <w:t>אזהרה ר</w:t>
      </w:r>
      <w:r>
        <w:rPr>
          <w:rtl w:val="true"/>
        </w:rPr>
        <w:t xml:space="preserve">' </w:t>
      </w:r>
      <w:r>
        <w:rPr>
          <w:rtl w:val="true"/>
        </w:rPr>
        <w:t>סמויה – כולם תיזהרו</w:t>
      </w:r>
      <w:r>
        <w:rPr>
          <w:rtl w:val="true"/>
        </w:rPr>
        <w:t xml:space="preserve">, </w:t>
      </w:r>
      <w:r>
        <w:rPr>
          <w:rtl w:val="true"/>
        </w:rPr>
        <w:t xml:space="preserve">הפילה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אנשים כולם עצורים</w:t>
      </w:r>
      <w:r>
        <w:rPr>
          <w:rtl w:val="true"/>
        </w:rPr>
        <w:t xml:space="preserve">". </w:t>
      </w:r>
      <w:r>
        <w:rPr>
          <w:rtl w:val="true"/>
        </w:rPr>
        <w:t xml:space="preserve">בגין האישום השלישי הנאשמת הורשעה בעבירות של הטרדת עד לפי סעיף </w:t>
      </w:r>
      <w:r>
        <w:rPr/>
        <w:t>249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תקיפת קטין וגרימת חבלה של ממש לפי סעיף </w:t>
      </w:r>
      <w:r>
        <w:rPr/>
        <w:t>368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לחוק וכן איומים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15.12.2011</w:t>
      </w:r>
      <w:r>
        <w:rPr>
          <w:rtl w:val="true"/>
        </w:rPr>
        <w:t xml:space="preserve"> </w:t>
      </w:r>
      <w:r>
        <w:rPr>
          <w:rtl w:val="true"/>
        </w:rPr>
        <w:t>הצדדים הודיעו שהגיעו להסדר טיעון לפיו הנאשמת תודה ותורשע בכתב האישום המתוקן ותשלח לקבלת תסקיר של שרות המבחן</w:t>
      </w:r>
      <w:r>
        <w:rPr>
          <w:rtl w:val="true"/>
        </w:rPr>
        <w:t xml:space="preserve">, </w:t>
      </w:r>
      <w:r>
        <w:rPr>
          <w:rtl w:val="true"/>
        </w:rPr>
        <w:t>שהינו תסקיר חובה מחמת גילה</w:t>
      </w:r>
      <w:r>
        <w:rPr>
          <w:rtl w:val="true"/>
        </w:rPr>
        <w:t xml:space="preserve">. </w:t>
      </w:r>
      <w:r>
        <w:rPr>
          <w:rtl w:val="true"/>
        </w:rPr>
        <w:t>לפי ההסדר</w:t>
      </w:r>
      <w:r>
        <w:rPr>
          <w:rtl w:val="true"/>
        </w:rPr>
        <w:t xml:space="preserve">, </w:t>
      </w:r>
      <w:r>
        <w:rPr>
          <w:rtl w:val="true"/>
        </w:rPr>
        <w:t>המאשימה תעתור לעונש מאסר בפועל של שמונה חודשים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למתלוננת והסניגור יהיה רשאי לטעון באופן פתוח</w:t>
      </w:r>
      <w:r>
        <w:rPr>
          <w:rtl w:val="true"/>
        </w:rPr>
        <w:t xml:space="preserve">. </w:t>
      </w:r>
      <w:r>
        <w:rPr>
          <w:rtl w:val="true"/>
        </w:rPr>
        <w:t>בעקבות הודייתה של הנאשמת בכתב האישום ניתנה הכרעת דין לפיה הנאשמת הורשעה בעבירות שפורטו לעיל והדיון נדחה לטיעונים לעונש עד לקבלת תסקיר שרות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 xml:space="preserve">הנאשמת הינה בת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וללא עבר פלילי קודם</w:t>
      </w:r>
      <w:r>
        <w:rPr>
          <w:rtl w:val="true"/>
        </w:rPr>
        <w:t xml:space="preserve">. </w:t>
      </w:r>
      <w:r>
        <w:rPr>
          <w:rtl w:val="true"/>
        </w:rPr>
        <w:t>מתסקיר שרות המבחן עולה כי הנאשמת אושפזה בעבר במחלקות פסיכיאטריות עקב ניסיונות אובדניים</w:t>
      </w:r>
      <w:r>
        <w:rPr>
          <w:rtl w:val="true"/>
        </w:rPr>
        <w:t xml:space="preserve">, </w:t>
      </w:r>
      <w:r>
        <w:rPr>
          <w:rtl w:val="true"/>
        </w:rPr>
        <w:t>וניתן תיאור לרקע המשפחתי שלה ולטיב יחסיה עם משפחתה הגרעינית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הנאשמת אובחנה כמי שסובלת מהפרעות התנהגות</w:t>
      </w:r>
      <w:r>
        <w:rPr>
          <w:rtl w:val="true"/>
        </w:rPr>
        <w:t xml:space="preserve">, </w:t>
      </w:r>
      <w:r>
        <w:rPr>
          <w:rtl w:val="true"/>
        </w:rPr>
        <w:t>בעלת סף תסכול נמוך</w:t>
      </w:r>
      <w:r>
        <w:rPr>
          <w:rtl w:val="true"/>
        </w:rPr>
        <w:t xml:space="preserve">, </w:t>
      </w:r>
      <w:r>
        <w:rPr>
          <w:rtl w:val="true"/>
        </w:rPr>
        <w:t>קושי בשליטה בדחפים ורמות תוקפנות גבוהות</w:t>
      </w:r>
      <w:r>
        <w:rPr>
          <w:rtl w:val="true"/>
        </w:rPr>
        <w:t xml:space="preserve">. </w:t>
      </w:r>
      <w:r>
        <w:rPr>
          <w:rtl w:val="true"/>
        </w:rPr>
        <w:t>הנאשמת טענה בפני קצינת המבחן שאיננה זקוקה לסיוע מקצועי לצורך הימנעות משימוש בסמים</w:t>
      </w:r>
      <w:r>
        <w:rPr>
          <w:rtl w:val="true"/>
        </w:rPr>
        <w:t xml:space="preserve">, </w:t>
      </w:r>
      <w:r>
        <w:rPr>
          <w:rtl w:val="true"/>
        </w:rPr>
        <w:t>וזאת חרף העובדה שאישרה שנהגה לעשן חשיש על בסיס יומי</w:t>
      </w:r>
      <w:r>
        <w:rPr>
          <w:rtl w:val="true"/>
        </w:rPr>
        <w:t xml:space="preserve">. </w:t>
      </w:r>
      <w:r>
        <w:rPr>
          <w:rtl w:val="true"/>
        </w:rPr>
        <w:t>מתסקיר שרות המבחן עולה שהנאשמת מביעה חרטה על מעשיה אך בד בבד הינה מתקשה לגלות תובנה לחומרת התנהגותה</w:t>
      </w:r>
      <w:r>
        <w:rPr>
          <w:rtl w:val="true"/>
        </w:rPr>
        <w:t xml:space="preserve">, </w:t>
      </w:r>
      <w:r>
        <w:rPr>
          <w:rtl w:val="true"/>
        </w:rPr>
        <w:t>לדחפיה האימפולסיביים ולצורך בטיפול בתחום האלימות</w:t>
      </w:r>
      <w:r>
        <w:rPr>
          <w:rtl w:val="true"/>
        </w:rPr>
        <w:t xml:space="preserve">. </w:t>
      </w:r>
      <w:r>
        <w:rPr>
          <w:rtl w:val="true"/>
        </w:rPr>
        <w:t>לאור חוסר הנכונות שהביעה הנאשמת להשתתפות בהליך טיפולי</w:t>
      </w:r>
      <w:r>
        <w:rPr>
          <w:rtl w:val="true"/>
        </w:rPr>
        <w:t xml:space="preserve">, </w:t>
      </w:r>
      <w:r>
        <w:rPr>
          <w:rtl w:val="true"/>
        </w:rPr>
        <w:t>בין בתחום הסמים ובין בתחום האלימות</w:t>
      </w:r>
      <w:r>
        <w:rPr>
          <w:rtl w:val="true"/>
        </w:rPr>
        <w:t xml:space="preserve">, </w:t>
      </w:r>
      <w:r>
        <w:rPr>
          <w:rtl w:val="true"/>
        </w:rPr>
        <w:t>שרות המבחן לא בא בכל המלצה בעניינה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בא כח המאשימה טענה שיש להשית על הנאשמת את התקרה העליונה של ההסדר</w:t>
      </w:r>
      <w:r>
        <w:rPr>
          <w:rtl w:val="true"/>
        </w:rPr>
        <w:t xml:space="preserve">, </w:t>
      </w:r>
      <w:r>
        <w:rPr>
          <w:rtl w:val="true"/>
        </w:rPr>
        <w:t>היינו שמונה חודשי מאסר בפועל</w:t>
      </w:r>
      <w:r>
        <w:rPr>
          <w:rtl w:val="true"/>
        </w:rPr>
        <w:t xml:space="preserve">, </w:t>
      </w:r>
      <w:r>
        <w:rPr>
          <w:rtl w:val="true"/>
        </w:rPr>
        <w:t>ובעוד שהסניגור טען שיש להסתפק בתקופת מעצרה</w:t>
      </w:r>
      <w:r>
        <w:rPr>
          <w:rtl w:val="true"/>
        </w:rPr>
        <w:t xml:space="preserve">. </w:t>
      </w:r>
      <w:r>
        <w:rPr>
          <w:rtl w:val="true"/>
        </w:rPr>
        <w:t>העבירות שבהן הורשעה הנאשמת הינן עבירות חמורות המחייבות ענישה הולמת בדמות מאסר בפועל</w:t>
      </w:r>
      <w:r>
        <w:rPr>
          <w:rtl w:val="true"/>
        </w:rPr>
        <w:t xml:space="preserve">, </w:t>
      </w:r>
      <w:r>
        <w:rPr>
          <w:rtl w:val="true"/>
        </w:rPr>
        <w:t>וזאת לא כל שכן לאור סירובה בקבלת סיוע טיפולי ושיקומי</w:t>
      </w:r>
      <w:r>
        <w:rPr>
          <w:rtl w:val="true"/>
        </w:rPr>
        <w:t xml:space="preserve">, </w:t>
      </w:r>
      <w:r>
        <w:rPr>
          <w:rtl w:val="true"/>
        </w:rPr>
        <w:t>בתחום הסמים ואלימות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לקחתי בחשבון את הודייתה</w:t>
      </w:r>
      <w:r>
        <w:rPr>
          <w:rtl w:val="true"/>
        </w:rPr>
        <w:t xml:space="preserve">, </w:t>
      </w:r>
      <w:r>
        <w:rPr>
          <w:rtl w:val="true"/>
        </w:rPr>
        <w:t>החרטה שהביעה</w:t>
      </w:r>
      <w:r>
        <w:rPr>
          <w:rtl w:val="true"/>
        </w:rPr>
        <w:t xml:space="preserve">, </w:t>
      </w:r>
      <w:r>
        <w:rPr>
          <w:rtl w:val="true"/>
        </w:rPr>
        <w:t>החסכון בזמן שיפוטי יקר וחסכון מהקטינה ר</w:t>
      </w:r>
      <w:r>
        <w:rPr>
          <w:rtl w:val="true"/>
        </w:rPr>
        <w:t xml:space="preserve">' </w:t>
      </w:r>
      <w:r>
        <w:rPr>
          <w:rtl w:val="true"/>
        </w:rPr>
        <w:t>מהתייצבות בבית המשפט לשמיעת עדותה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לקחתי בחשבון גם את נסיבות חייה כפי שתוארו 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לאור כל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הנני משית על הנאשמת את העונשים הבאים 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450" w:start="153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ימי מעצרה מיום </w:t>
      </w:r>
      <w:r>
        <w:rPr/>
        <w:t>17.10.12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450" w:start="153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ממועד שחרורה לא תבצע עבירה מסוג פשע לפי </w:t>
      </w:r>
      <w:hyperlink r:id="rId5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ג –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450" w:start="153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ממועד שחרורה לא תבצע עבירה מסוג עוון לפי </w:t>
      </w:r>
      <w:hyperlink r:id="rId6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ג –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450" w:start="153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ממועד שחרורה לא תבצע עבירה מסוג אלימות</w:t>
      </w:r>
      <w:r>
        <w:rPr>
          <w:rtl w:val="true"/>
        </w:rPr>
        <w:t xml:space="preserve">, </w:t>
      </w:r>
      <w:r>
        <w:rPr>
          <w:rtl w:val="true"/>
        </w:rPr>
        <w:t>לרבות עבירת איומים</w:t>
      </w:r>
      <w:r>
        <w:rPr>
          <w:rtl w:val="true"/>
        </w:rPr>
        <w:t xml:space="preserve">, </w:t>
      </w:r>
      <w:r>
        <w:rPr>
          <w:rtl w:val="true"/>
        </w:rPr>
        <w:t xml:space="preserve">או עבירה של הטרדת עד לפי סעיף </w:t>
      </w:r>
      <w:r>
        <w:rPr/>
        <w:t>249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450" w:start="1530" w:end="0"/>
        <w:jc w:val="both"/>
        <w:rPr/>
      </w:pPr>
      <w:r>
        <w:rPr>
          <w:rtl w:val="true"/>
        </w:rPr>
        <w:t xml:space="preserve">הנאשמת תשלם פיצוי בסך של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לקטינה ר</w:t>
      </w:r>
      <w:r>
        <w:rPr>
          <w:rtl w:val="true"/>
        </w:rPr>
        <w:t xml:space="preserve">', </w:t>
      </w:r>
      <w:r>
        <w:rPr>
          <w:rtl w:val="true"/>
        </w:rPr>
        <w:t>שמופיעה כעדת תביעה 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ברשימת העדים בכתב האישום</w:t>
      </w:r>
      <w:r>
        <w:rPr>
          <w:rtl w:val="true"/>
        </w:rPr>
        <w:t xml:space="preserve">. </w:t>
      </w:r>
      <w:r>
        <w:rPr>
          <w:rtl w:val="true"/>
        </w:rPr>
        <w:t>המאשימה תמסור למזכירות את פרטיה המלאים של הקטינה ר</w:t>
      </w:r>
      <w:r>
        <w:rPr>
          <w:rtl w:val="true"/>
        </w:rPr>
        <w:t xml:space="preserve">'. </w:t>
      </w:r>
      <w:r>
        <w:rPr>
          <w:rtl w:val="true"/>
        </w:rPr>
        <w:t xml:space="preserve">הפיצוי ישולם עד ליום </w:t>
      </w:r>
      <w:r>
        <w:rPr/>
        <w:t>1.6.2012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 xml:space="preserve">זכות ערעור לכבוד בית המשפט המחוזי במחוז מרכז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26406-10-11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איוון סיפלו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530"/>
        </w:tabs>
        <w:ind w:start="1530" w:hanging="45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inks/psika/?NEWPROC=&#1502;&#1514;&amp;NEWPARTA=26428&amp;NEWPARTB=10&amp;NEWPARTC=11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P170_001.htm" TargetMode="External"/><Relationship Id="rId6" Type="http://schemas.openxmlformats.org/officeDocument/2006/relationships/hyperlink" Target="http://www.nevo.co.il/law_html/law01/P170_001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2012-02-05T07:41:00Z</dcterms:created>
  <dc:creator> </dc:creator>
  <dc:description/>
  <cp:keywords/>
  <dc:language>en-IL</dc:language>
  <cp:lastModifiedBy>hofit</cp:lastModifiedBy>
  <dcterms:modified xsi:type="dcterms:W3CDTF">2012-02-05T07:41:00Z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איוון סיפלו;יעל לב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20120130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YER">
    <vt:lpwstr>סרי רותם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26406</vt:lpwstr>
  </property>
  <property fmtid="{D5CDD505-2E9C-101B-9397-08002B2CF9AE}" pid="20" name="NEWPARTB">
    <vt:lpwstr>10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380020120130</vt:lpwstr>
  </property>
  <property fmtid="{D5CDD505-2E9C-101B-9397-08002B2CF9AE}" pid="32" name="TYPE_N_DATE">
    <vt:lpwstr>38020120130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