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פ </w:t>
            </w:r>
            <w:r>
              <w:rPr>
                <w:rFonts w:cs="Arial" w:ascii="Arial" w:hAnsi="Arial"/>
              </w:rPr>
              <w:t>26480-05-11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מדינת ישראל נ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אביטבול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ascii="Arial" w:hAnsi="Arial" w:cs="Arial"/>
                <w:rtl w:val="true"/>
              </w:rPr>
              <w:t>עציר</w:t>
            </w:r>
            <w:r>
              <w:rPr>
                <w:rFonts w:cs="Arial" w:ascii="Arial" w:hAnsi="Arial"/>
                <w:rtl w:val="true"/>
              </w:rPr>
              <w:t xml:space="preserve">) </w:t>
            </w:r>
            <w:r>
              <w:rPr>
                <w:rFonts w:ascii="Arial" w:hAnsi="Arial" w:cs="Arial"/>
                <w:rtl w:val="true"/>
              </w:rPr>
              <w:t>ואח</w:t>
            </w:r>
            <w:r>
              <w:rPr>
                <w:rFonts w:cs="Arial" w:ascii="Arial" w:hAnsi="Arial"/>
                <w:rtl w:val="true"/>
              </w:rPr>
              <w:t>'</w:t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25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נובמבר </w:t>
            </w:r>
            <w:r>
              <w:rPr>
                <w:rFonts w:cs="Arial" w:ascii="Arial" w:hAnsi="Arial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_GoBack"/>
            <w:bookmarkStart w:id="2" w:name="_GoBack"/>
            <w:bookmarkEnd w:id="2"/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rtl w:val="true"/>
              </w:rPr>
              <w:t>ורדה מרוז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FirstLawyer"/>
            <w:bookmarkStart w:id="4" w:name="FirstAppellant"/>
            <w:bookmarkStart w:id="5" w:name="FirstLawyer"/>
            <w:bookmarkStart w:id="6" w:name="FirstAppellant"/>
            <w:bookmarkEnd w:id="5"/>
            <w:bookmarkEnd w:id="6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אלון טנקג</w:t>
            </w:r>
            <w:r>
              <w:rPr>
                <w:rFonts w:cs="Arial" w:ascii="Arial" w:hAnsi="Arial"/>
                <w:rtl w:val="true"/>
              </w:rPr>
              <w:t>'</w:t>
            </w:r>
            <w:r>
              <w:rPr>
                <w:rFonts w:ascii="Arial" w:hAnsi="Arial" w:cs="Arial"/>
                <w:rtl w:val="true"/>
              </w:rPr>
              <w:t xml:space="preserve">י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מ 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rtl w:val="true"/>
              </w:rPr>
              <w:t xml:space="preserve">אברהם אביב אביטבול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rtl w:val="true"/>
              </w:rPr>
              <w:t xml:space="preserve">אליאור ממן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rtl w:val="true"/>
              </w:rPr>
              <w:t xml:space="preserve">מאור וקנין </w:t>
            </w:r>
            <w:r>
              <w:rPr>
                <w:rFonts w:cs="Arial" w:ascii="Arial" w:hAnsi="Arial"/>
                <w:rtl w:val="true"/>
              </w:rPr>
              <w:br/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בועז קניג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rtl w:val="true"/>
              </w:rPr>
              <w:t xml:space="preserve">סרגיי ורחובסקי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rtl w:val="true"/>
              </w:rPr>
              <w:t xml:space="preserve">מאור אוחיון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rtl w:val="true"/>
              </w:rPr>
              <w:t xml:space="preserve">חנן אוחיון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11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בעניינו של הנאשם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3</w:t>
            </w:r>
            <w:bookmarkEnd w:id="11"/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  <w:rtl w:val="true"/>
        </w:rPr>
      </w:r>
    </w:p>
    <w:p>
      <w:pPr>
        <w:pStyle w:val="Normal"/>
        <w:spacing w:lineRule="auto" w:line="360"/>
        <w:ind w:hanging="746" w:start="746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12" w:name="ABSTRACT_START"/>
      <w:bookmarkEnd w:id="12"/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( 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הנאשם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 על פי הודאתו בעבירה של סיוע לביצוע עסקה שיש עימה מסירת החזקה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ביחד עם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זאת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בגדרו תוקן 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46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numPr>
          <w:ilvl w:val="0"/>
          <w:numId w:val="1"/>
        </w:numPr>
        <w:spacing w:lineRule="auto" w:line="360"/>
        <w:ind w:hanging="746" w:start="74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26/4/11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רכש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מטען חבלה מאולתר ופגז זיקוקים בתמורה לסכום של </w:t>
      </w:r>
      <w:r>
        <w:rPr>
          <w:rFonts w:cs="Arial" w:ascii="Arial" w:hAnsi="Arial"/>
        </w:rPr>
        <w:t>8,000</w:t>
      </w:r>
      <w:r>
        <w:rPr>
          <w:rFonts w:cs="Arial" w:ascii="Arial" w:hAnsi="Arial"/>
          <w:rtl w:val="true"/>
        </w:rPr>
        <w:t xml:space="preserve"> ₪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הנשק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cs="Arial" w:ascii="Arial" w:hAnsi="Arial"/>
          <w:sz w:val="22"/>
          <w:szCs w:val="22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אז קשר עם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קשר לביצוע עסקה למסירת הנשק לידי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למי מטעמו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27/4/11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תיאמו השניים עם הנאשם את העברת החזקה בנשק מידי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לידי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הנשק הוחזק בשקית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תיאמו מפגש למסירת הנשק ובהתאם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הנאשם במכוניתו למקום המפגש ביחד עם 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שנסעו במכוניתם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זיהה את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ונסע בעקבותיהם לרח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גולומב בנתניה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ירד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מרכבו והצטרף לרכב הנאשם בעוד שהנאשם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נשאר ברכבו ונסע הלוך ושוב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לסרוק את השטח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אשר נעמד ליד רכב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46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46" w:start="74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קיבל מידי הנאשם את השקית ובה הנשק והעביר לידיו בתמורה סכום של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יצא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מרכב הנאשם ושב לרכב 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שהניח את שקית ובה הנשק בתא מטען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 עזבו השניים את המקום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46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46" w:start="74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העברת הנשק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הסתיים תפקידו של הנאשם בתוכנית הקשר בין הנאשמים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46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26" w:start="746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הטיעונים לעונש</w:t>
      </w:r>
    </w:p>
    <w:p>
      <w:pPr>
        <w:pStyle w:val="Normal"/>
        <w:ind w:hanging="746" w:start="746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טנקג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 להשית על הנאשם עונש מאסר לריצוי בפועל לתקופה ממושכת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התובע עמד על חומרת העבירה שביצע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הכיר את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וידע את תכולת החבילה ולמצער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ביצע את העבירה תוך עצימת עיניים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במעורבים בקשר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בתמורה הכספית שקיבל ובנסיבות ביצוע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את טיעוניו סמך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גזר הדין שניתן בעניינם של הנאשמים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1/3/12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בגדרו הוטלו עליהם תקופות מאסר ממושכות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לחלקו של כל אחד מהם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התחכום והתכנון שאפיינו את העבירות ומידת העבריינות של כל אחד מהנאשמים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בהסתמכו על עקרון אחידות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לגזור גזרה שווה על הנאשם מהעונש שהושת על נאשם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שהורשע בעבירה זהה לזו בה הורשע הנאשם ונושא בעונש של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שציין בהגינותו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נסיבותיו של 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שונות ולו מהטעם שלחובתו שתי הרשעות קודמות וחלקו בעבירות דנן רב 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708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בהתייחסו לנסיבותיו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את עמדת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נמנע בתסקירו מלהמליץ על הליך טיפולי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התרשמותו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אינו נוטל אחריות מלאה לעבירה כמו גם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נוטל אחריות על חלקים בעייתיים באישיותו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08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08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ביקש לדחות את עמדת 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אלה סטולפר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עובדת סוציאלית שטפלה בנאשם ממועד שחרורו מהמעצר ועד הלום וערכה חוות דעת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בגדרן המליצה להימנע מלהשית עליו מאסר לריצוי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טוען כי מדובר בחוות דעת מגמתית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שאין ליתן לה משקל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08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08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הואיל ומדובר בעבירת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אזי ראוי ליתן בכורה לאינטרס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מפניו נסוגות נסיבותיהם האישיות של נאשמים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08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08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בהתייחסו לחלקו של הנאשם בפרשייה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הגם שהלה לא החזיק בתפקיד מרכזי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שתפקידו היה משמעותי ובלעדיו העברת הנשק לא היתה מתאפשרת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08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08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יסוד פסיקה דומה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להשית על הנאשם עונש מוחשי בדמות מאסר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למען יראו וייראו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08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בועז קניג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הציג  ראיות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טרם טיעוניו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באמצעותן ביקש להאיר את אישיותו הנורמטיבית של הנאשם ולהצביע על תכונותיו החיוביות כאדם וכאזרח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ללמד כי העבירה שביצע חריגה בנוף התנהגותו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08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08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בהתייחסו לנסיבות ביצוע העבירה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זו נעברה אגב עבודתו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שעסק בהובלה ומהטעם הזה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התבקש להעביר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חבילה</w:t>
      </w:r>
      <w:r>
        <w:rPr>
          <w:rFonts w:cs="Arial" w:ascii="Arial" w:hAnsi="Arial"/>
          <w:rtl w:val="true"/>
        </w:rPr>
        <w:t xml:space="preserve">".  </w:t>
      </w:r>
      <w:r>
        <w:rPr>
          <w:rFonts w:ascii="Arial" w:hAnsi="Arial" w:cs="Arial"/>
          <w:rtl w:val="true"/>
        </w:rPr>
        <w:t xml:space="preserve">התמורה בסך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שקיבל בגין העברת הנשק בטלה בשישים 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לזקפה לחובתו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גובה הסכום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שהינו פעוט ובלתי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הטעים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בעבירה של סיוע לניסיון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להבדיל מהעבירה העיקרית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08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08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הדגיש את חלקו הפאסיבי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יזם מאומה ולמעשה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נוצל על ידי אחרים כאשר התבקש להוביל את החבילה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לייחס לנאשם כוונה ולכל היותר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מצוי הנאשם במצב של עצימת עיניים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ידיעה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ברמה הנמוכה ביותר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לחילופין טען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טעה הנאשם בשיקול הדעת שהפעיל ונהג בקלות ראש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08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08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הטעים את עברו הנקי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אורח חייו הנורמטיבי ואת הנזק שעלול להיגרם לו אם יישלח למאסר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תיאר את הליך השיקום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שבעיצומו הוא מצוי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המאמץ הרב שהשקיע בו ואת ההקפדה שהקפיד לקיים את התנאים המגבילים שהוטלו עליו לאורך תקופה ארוכה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החל ללמוד במכללה ובתוך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ממשיך בעבודתו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צפוי לסיים את לימודיו בתוך שנה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46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</w:tabs>
        <w:spacing w:lineRule="auto" w:line="360"/>
        <w:ind w:hanging="708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בהתייחסו לחוות דעת הממונה על עבודות שרות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קבע כי אין הנאשם מתאים לביצוע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בשל חשש לביטחונו ולביטחונם של אחרים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טען הסנגור כי אין לקבלה כחלוטה ויש לשוב ולבדוק באם יש בנמצא מקום עבודה אשר לא יסכן את הנאשם או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הפרפראזה עליה נסמך הממונה על עבודות השירות מיושנת ומקורה בידיעות מודיעיניות ישנות ובלתי רלבנטיות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08" w:start="708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08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עתר להעדיף את המלצתה של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אלה סטולפר על פני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בהיותה עמוקה ויסודית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בסיס טיפול פרטני ארוך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08" w:start="708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08" w:start="70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אלו עתר הסנגור להסתפק בתקופת מאסר שתרוצה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08" w:start="708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26" w:start="746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על הנאשם </w:t>
      </w: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ind w:hanging="26" w:start="746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צעיר כבן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התגורר בבית אמו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ושירות מלא בצבא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שחרורו ובתום טיול בחו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השתלב הנאשם בעבודות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בהן התמיד לאורך השנים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שהחליף מקומות עבודה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ind w:hanging="720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שחרורו מהמעצר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הועמד הנאשם בפיקוח מעצר למשך חצי 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במהלכה השתתף בקבוצה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בגדרה ביטא את מצוקתו הנפשית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תסכוליו וחרדותיו עקב הסתבכותו בפלילים וההליך המשפטי התלוי ועומד נגדו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תיאר את הבושה והחרטה שחש כלפי  משפחתו שהתגייסה למענו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משפחה נורמטיבית שהתקשתה לקבל את מעורבותו בפלילים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ind w:hanging="720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הקפיד להגיע לכל המפגשים אליהם זומן וניכר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שעשה מאמץ להציג עצמו באורח חיובי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הפערים והסתירות שנגלו בדבריו ביחס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עוררו תהיות ביחס לעמדתו לעבירה ולחומרתה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תחילה ציין כי קשריו החברתיים עם חברה שולית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אלו שעמדו ביסוד העבירה וכי עליו לשנות את אורחותיו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שינה את טעמו וציין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בקשר שטחי עם אחד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שלל נגררות אחר חבריו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הסתירות תירץ בחשש ובחרדה בהם היה מצוי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left" w:pos="720" w:leader="none"/>
        </w:tabs>
        <w:ind w:hanging="720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כי קיימת זיקה בין ביטויי הנזקקות של הנאשם להליך התלוי ועומד נגדו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מעבר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נוצר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חיבור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אף לא הבנה ראשונית באשר לנסיבות הסתבכותו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הוא הקפיד להדגיש את תפקודו הנורמטיבי ואת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תום הלב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שליווה את ביצוע העבירה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left" w:pos="720" w:leader="none"/>
        </w:tabs>
        <w:ind w:hanging="720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rtl w:val="true"/>
        </w:rPr>
        <w:t>שירות המבחן התרשם מעמדה קורבנית שהציג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אגב ששלל כוונה וידיעה ביחס לעובדות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 כדי להרחיק עצמו מחומרת המעשה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מחלקים בעייתיים באישיותו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נמנע שירות המבחן מהמלצה טיפולית והמליץ על 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ענישה מוחשית ומציבת גבולות ברורים להתנהגותו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במטרה לחדד עבורו את המחירים והבעייתיות באופן התנהלותו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". </w:t>
      </w:r>
    </w:p>
    <w:p>
      <w:pPr>
        <w:pStyle w:val="Normal"/>
        <w:ind w:hanging="746" w:start="746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hanging="26" w:start="746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חוות דעת – גב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אלה סטולפר</w:t>
      </w:r>
    </w:p>
    <w:p>
      <w:pPr>
        <w:pStyle w:val="Normal"/>
        <w:ind w:hanging="746" w:start="746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סטולפר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עובדת סוציאלית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ששמשה בעבר כקצינת מבחן למבוגרים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ניהלה מרכז שיקומי לאסירות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עסקה בהדרכת אסירות משוחררות ומתמחה לדבריה בעבודה עם עוברי 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פנה לטיפולה בתאריך </w:t>
      </w:r>
      <w:r>
        <w:rPr>
          <w:rFonts w:cs="Arial" w:ascii="Arial" w:hAnsi="Arial"/>
        </w:rPr>
        <w:t>12.6.2012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סמוך למועד הדיון הגיע למפגשים עמה בתדירות של פעם בשבוע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סטולפר הציגה שתי חוות דעת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left" w:pos="720" w:leader="none"/>
        </w:tabs>
        <w:ind w:hanging="720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סטולפר מסר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הכיר שניים מהנאשמים 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הכרות קצרה וראשונית מאוד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והסכים להעביר עבורם חבילה שלא היה מודע לתכולתה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משנחשף לתכולה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חש כי פעל ללא שיקול דעת והביע חרטה וצער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הבנה לחומרת המעשה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ind w:hanging="720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מאז שחרורו מהמעצר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התנתק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לדברי 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סטולפר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מחבריו בעלי הרקע הפלילי או העברייני והשקיע מאמץ בשינוי דפוסי ההתנהגות שהובילו לביצוע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ind w:hanging="720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סטולפר העלתה את המשבר שאירע בקרב משפחת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הכעס והחשדנות שגילתה כלפיו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העבירה שביצע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מחויבותו ורצינותו של הנאשם להליך הטיפולי ורצונו הכן והאמיתי לבנות חיים נורמטיביים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עונש של המאסר בפועל יפגע בהליך הטיפולי ועל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להסתפק בעונש מאסר שירוצה בעבודות שירות לצד ההליך הטיפולי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ind w:hanging="720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סטולפר הדגישה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מדובר בנאשם בעל דפוסי התנהגות עבריינים וכי את העבירה ביצע כדי לרצות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להבדיל מתחושת הקורבנות שייחס לו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מעדותה 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לנאשם מטפל קבוע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סירב למסור חוות דעת או להתייצב לעדות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ind w:hanging="720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708" w:leader="none"/>
        </w:tabs>
        <w:spacing w:lineRule="auto" w:line="360"/>
        <w:ind w:start="708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עדי ההגנה לעונש </w:t>
      </w:r>
    </w:p>
    <w:p>
      <w:pPr>
        <w:pStyle w:val="Normal"/>
        <w:tabs>
          <w:tab w:val="left" w:pos="720" w:leader="none"/>
        </w:tabs>
        <w:ind w:hanging="720" w:start="746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אחותו של הנאשם 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רעות ועקנין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העידה על השבר שפקד את המשפחה – משפחה נורמטיבית וחמה – עקב העבירה שביצע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ציינה כי המשפחה נקטה צעדים ולא בחלה במשאבים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להעמיד לרשות הנאשם את טובי אנשי המקצוע על מנת שיסייעו בשיקומו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היא הטעימה את מקומו המרכזי של הנאשם בקרב המשפחה והגדירה אותו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דבק וההוויה של המשפחה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האחות הביעה את הסתייגותה העזה מהעבירה שביצע הנאשם והסכנה שנשקפת ממנה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ind w:hanging="720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אביו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 אלי וקנין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שוטר בדימוס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שירת במשטרת ישראל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וזכה להוקרה והערכה 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הטעים אף הוא את המשבר שפקד את המשפחה עקב העבירה שביצע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ציין את המאמץ הרב שנעשה כדי להחזירו לדרך המלך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האב סיים את דבריו בבקשה ותחינה לרחם על בנו ולאפשר לו להשתקם ולשוב לחיים נורמטיביים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ind w:hanging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ניצל את זכותו לומר את המילה האחרונה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צער וחרטה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תיאר את הבושה שחש כלפי משפחתו עקב הסבל שגרם לה ואת מאמציו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מאמצי המשפחה לתרום לשיקומו המלא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הטעים כי טעה בשיקול דעת כאשר ביצע את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פנה לרחמי בית המשפט וביקש לאפר לו להשלים את התהליך השיקומי בו החל והוא מצוי בעיצומו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ניכר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חש מחויבות גדולה כלפי משפחתו שהתגייסה למענו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ind w:hanging="720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708" w:leader="none"/>
        </w:tabs>
        <w:spacing w:lineRule="auto" w:line="360"/>
        <w:ind w:start="708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tabs>
          <w:tab w:val="left" w:pos="720" w:leader="none"/>
        </w:tabs>
        <w:ind w:hanging="720" w:start="746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בגזר הדין בעניינם של הנאשמים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עמדתי על חומרת עבירות הנשק והסכנה הנשקפת מהן לציבור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נשק שנסחר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דרכו להגיע לעיתים לידיים עוינות או לידיים עברייניות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הגם שהנאשם אינו העבריין העיקרי בפרשיה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שאין להקל ראש בחלקו במימוש הקשר לבצע העברת הנשק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ind w:hanging="720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מדיניות הענישה בעבירות נשק ידועה ולפיה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להעדיף את האינטרס הציבורי על פני נסיבותיהם האישיות של 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ביסוד הלכה זו עומד הצורך בהרתעתם של אחרים כדוגמת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left" w:pos="720" w:leader="none"/>
        </w:tabs>
        <w:ind w:hanging="720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באוזן קשבת שמעתי את טיעוני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ביקש להסתפק בעונש מתון בדמות מאסר שירוצה בעבודות שרות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לאפשר לנאשם לחזור לחיים תקינים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מקום ליתן לטיעון זה משקל יתר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דא עקא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נשק נקבעה הלכה לפיה יש להחמיר בעונשיהם של העבריינים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אגב דחיקת נסיבותיהם האישיות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לעניין זה ראה </w:t>
      </w:r>
      <w:hyperlink r:id="rId8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1112/11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סרגיי קירזנר 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16.10.12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tabs>
          <w:tab w:val="left" w:pos="720" w:leader="none"/>
        </w:tabs>
        <w:ind w:hanging="720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ruller40"/>
        <w:tabs>
          <w:tab w:val="clear" w:pos="720"/>
          <w:tab w:val="left" w:pos="1559" w:leader="none"/>
        </w:tabs>
        <w:spacing w:lineRule="auto" w:line="240"/>
        <w:ind w:start="1559" w:end="900"/>
        <w:jc w:val="both"/>
        <w:rPr>
          <w:rFonts w:ascii="Arial" w:hAnsi="Arial" w:cs="Arial"/>
          <w:b/>
          <w:bCs/>
          <w:spacing w:val="0"/>
        </w:rPr>
      </w:pPr>
      <w:r>
        <w:rPr>
          <w:rFonts w:cs="Arial" w:ascii="Arial" w:hAnsi="Arial"/>
          <w:b/>
          <w:bCs/>
          <w:spacing w:val="0"/>
          <w:rtl w:val="true"/>
        </w:rPr>
        <w:t>"</w:t>
      </w:r>
      <w:r>
        <w:rPr>
          <w:rFonts w:ascii="Arial" w:hAnsi="Arial" w:cs="Arial"/>
          <w:b/>
          <w:b/>
          <w:bCs/>
          <w:spacing w:val="0"/>
          <w:rtl w:val="true"/>
        </w:rPr>
        <w:t>בית משפט זה שב ועמד לאחרונה על חומרתן המיוחדת של עבירות בנשק ועל הסכנות הצפויות מעבירות כאלה הגורמות לפעילות עבריינית אחרת ומאיימות על שלום הציבור כולו</w:t>
      </w:r>
      <w:r>
        <w:rPr>
          <w:rFonts w:cs="Arial" w:ascii="Arial" w:hAnsi="Arial"/>
          <w:b/>
          <w:bCs/>
          <w:spacing w:val="0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0"/>
          <w:rtl w:val="true"/>
        </w:rPr>
        <w:t>נוכח מימדיה המדאיגים של תופעת הסחר הבלתי חוקי בנשק ולאור הצורך לסייע בבלימתה באמצעות ענישה מרתיעה</w:t>
      </w:r>
      <w:r>
        <w:rPr>
          <w:rFonts w:cs="Arial" w:ascii="Arial" w:hAnsi="Arial"/>
          <w:b/>
          <w:bCs/>
          <w:spacing w:val="0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rtl w:val="true"/>
        </w:rPr>
        <w:t>אימץ בית משפט זה עמדה עקרונית לפיה יש להחמיר</w:t>
      </w:r>
      <w:r>
        <w:rPr>
          <w:rFonts w:cs="Arial" w:ascii="Arial" w:hAnsi="Arial"/>
          <w:b/>
          <w:bCs/>
          <w:spacing w:val="0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rtl w:val="true"/>
        </w:rPr>
        <w:t>ככלל</w:t>
      </w:r>
      <w:r>
        <w:rPr>
          <w:rFonts w:cs="Arial" w:ascii="Arial" w:hAnsi="Arial"/>
          <w:b/>
          <w:bCs/>
          <w:spacing w:val="0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0"/>
          <w:rtl w:val="true"/>
        </w:rPr>
        <w:t xml:space="preserve">בענישתם של נאשמים שהורשעו בעבירות נשק בכלל ובעבירות סחר בנשק בפרט </w:t>
      </w:r>
      <w:r>
        <w:rPr>
          <w:rFonts w:cs="Arial" w:ascii="Arial" w:hAnsi="Arial"/>
          <w:b/>
          <w:bCs/>
          <w:spacing w:val="0"/>
          <w:rtl w:val="true"/>
        </w:rPr>
        <w:t>(</w:t>
      </w:r>
      <w:hyperlink r:id="rId9">
        <w:r>
          <w:rPr>
            <w:rStyle w:val="Hyperlink"/>
            <w:rFonts w:ascii="Arial" w:hAnsi="Arial" w:cs="Arial"/>
            <w:b/>
            <w:b/>
            <w:bCs/>
            <w:spacing w:val="0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spacing w:val="0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pacing w:val="0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spacing w:val="0"/>
          </w:rPr>
          <w:t>319/11</w:t>
        </w:r>
      </w:hyperlink>
      <w:r>
        <w:rPr>
          <w:rFonts w:cs="Arial" w:ascii="Arial" w:hAnsi="Arial"/>
          <w:b/>
          <w:bCs/>
          <w:spacing w:val="0"/>
          <w:rtl w:val="true"/>
        </w:rPr>
        <w:t xml:space="preserve"> </w:t>
      </w:r>
      <w:r>
        <w:rPr>
          <w:rFonts w:ascii="Arial" w:hAnsi="Arial" w:cs="Arial"/>
          <w:b/>
          <w:b/>
          <w:bCs/>
          <w:spacing w:val="0"/>
          <w:rtl w:val="true"/>
        </w:rPr>
        <w:t>מדינת ישראל נ</w:t>
      </w:r>
      <w:r>
        <w:rPr>
          <w:rFonts w:cs="Arial" w:ascii="Arial" w:hAnsi="Arial"/>
          <w:b/>
          <w:bCs/>
          <w:spacing w:val="0"/>
          <w:rtl w:val="true"/>
        </w:rPr>
        <w:t xml:space="preserve">' </w:t>
      </w:r>
      <w:r>
        <w:rPr>
          <w:rFonts w:ascii="Arial" w:hAnsi="Arial" w:cs="Arial"/>
          <w:b/>
          <w:b/>
          <w:bCs/>
          <w:spacing w:val="0"/>
          <w:rtl w:val="true"/>
        </w:rPr>
        <w:t xml:space="preserve">יאסין </w:t>
      </w:r>
      <w:r>
        <w:rPr>
          <w:rFonts w:cs="Arial" w:ascii="Arial" w:hAnsi="Arial"/>
          <w:b/>
          <w:bCs/>
          <w:spacing w:val="0"/>
          <w:rtl w:val="true"/>
        </w:rPr>
        <w:t>(</w:t>
      </w:r>
      <w:r>
        <w:rPr>
          <w:rFonts w:ascii="Arial" w:hAnsi="Arial" w:cs="Arial"/>
          <w:b/>
          <w:b/>
          <w:bCs/>
          <w:spacing w:val="0"/>
          <w:rtl w:val="true"/>
        </w:rPr>
        <w:t>לא פורסם</w:t>
      </w:r>
      <w:r>
        <w:rPr>
          <w:rFonts w:cs="Arial" w:ascii="Arial" w:hAnsi="Arial"/>
          <w:b/>
          <w:bCs/>
          <w:spacing w:val="0"/>
          <w:rtl w:val="true"/>
        </w:rPr>
        <w:t xml:space="preserve">, </w:t>
      </w:r>
      <w:r>
        <w:rPr>
          <w:rFonts w:cs="Arial" w:ascii="Arial" w:hAnsi="Arial"/>
          <w:b/>
          <w:bCs/>
          <w:spacing w:val="0"/>
        </w:rPr>
        <w:t>4.12.2011</w:t>
      </w:r>
      <w:r>
        <w:rPr>
          <w:rFonts w:cs="Arial" w:ascii="Arial" w:hAnsi="Arial"/>
          <w:b/>
          <w:bCs/>
          <w:spacing w:val="0"/>
          <w:rtl w:val="true"/>
        </w:rPr>
        <w:t xml:space="preserve">) </w:t>
      </w:r>
      <w:r>
        <w:rPr>
          <w:rFonts w:ascii="Arial" w:hAnsi="Arial" w:cs="Arial"/>
          <w:b/>
          <w:b/>
          <w:bCs/>
          <w:spacing w:val="0"/>
          <w:rtl w:val="true"/>
        </w:rPr>
        <w:t xml:space="preserve">פסקה </w:t>
      </w:r>
      <w:r>
        <w:rPr>
          <w:rFonts w:cs="Arial" w:ascii="Arial" w:hAnsi="Arial"/>
          <w:b/>
          <w:bCs/>
          <w:spacing w:val="0"/>
        </w:rPr>
        <w:t>6</w:t>
      </w:r>
      <w:r>
        <w:rPr>
          <w:rFonts w:cs="Arial" w:ascii="Arial" w:hAnsi="Arial"/>
          <w:b/>
          <w:bCs/>
          <w:spacing w:val="0"/>
          <w:rtl w:val="true"/>
        </w:rPr>
        <w:t xml:space="preserve">; </w:t>
      </w:r>
      <w:hyperlink r:id="rId10">
        <w:r>
          <w:rPr>
            <w:rStyle w:val="Hyperlink"/>
            <w:rFonts w:ascii="Arial" w:hAnsi="Arial" w:cs="Arial"/>
            <w:b/>
            <w:b/>
            <w:bCs/>
            <w:spacing w:val="0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spacing w:val="0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pacing w:val="0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spacing w:val="0"/>
          </w:rPr>
          <w:t>6210/10</w:t>
        </w:r>
      </w:hyperlink>
      <w:r>
        <w:rPr>
          <w:rFonts w:cs="Arial" w:ascii="Arial" w:hAnsi="Arial"/>
          <w:b/>
          <w:bCs/>
          <w:spacing w:val="0"/>
          <w:rtl w:val="true"/>
        </w:rPr>
        <w:t xml:space="preserve"> </w:t>
      </w:r>
      <w:r>
        <w:rPr>
          <w:rFonts w:ascii="Arial" w:hAnsi="Arial" w:cs="Arial"/>
          <w:b/>
          <w:b/>
          <w:bCs/>
          <w:spacing w:val="0"/>
          <w:rtl w:val="true"/>
        </w:rPr>
        <w:t>מדינת ישראל נ</w:t>
      </w:r>
      <w:r>
        <w:rPr>
          <w:rFonts w:cs="Arial" w:ascii="Arial" w:hAnsi="Arial"/>
          <w:b/>
          <w:bCs/>
          <w:spacing w:val="0"/>
          <w:rtl w:val="true"/>
        </w:rPr>
        <w:t xml:space="preserve">' </w:t>
      </w:r>
      <w:r>
        <w:rPr>
          <w:rFonts w:ascii="Arial" w:hAnsi="Arial" w:cs="Arial"/>
          <w:b/>
          <w:b/>
          <w:bCs/>
          <w:spacing w:val="0"/>
          <w:rtl w:val="true"/>
        </w:rPr>
        <w:t xml:space="preserve">אגבריה </w:t>
      </w:r>
      <w:r>
        <w:rPr>
          <w:rFonts w:cs="Arial" w:ascii="Arial" w:hAnsi="Arial"/>
          <w:b/>
          <w:bCs/>
          <w:spacing w:val="0"/>
          <w:rtl w:val="true"/>
        </w:rPr>
        <w:t>(</w:t>
      </w:r>
      <w:r>
        <w:rPr>
          <w:rFonts w:ascii="Arial" w:hAnsi="Arial" w:cs="Arial"/>
          <w:b/>
          <w:b/>
          <w:bCs/>
          <w:spacing w:val="0"/>
          <w:rtl w:val="true"/>
        </w:rPr>
        <w:t>לא פורסם</w:t>
      </w:r>
      <w:r>
        <w:rPr>
          <w:rFonts w:cs="Arial" w:ascii="Arial" w:hAnsi="Arial"/>
          <w:b/>
          <w:bCs/>
          <w:spacing w:val="0"/>
          <w:rtl w:val="true"/>
        </w:rPr>
        <w:t xml:space="preserve">, </w:t>
      </w:r>
      <w:r>
        <w:rPr>
          <w:rFonts w:cs="Arial" w:ascii="Arial" w:hAnsi="Arial"/>
          <w:b/>
          <w:bCs/>
          <w:spacing w:val="0"/>
        </w:rPr>
        <w:t>23.3.2011</w:t>
      </w:r>
      <w:r>
        <w:rPr>
          <w:rFonts w:cs="Arial" w:ascii="Arial" w:hAnsi="Arial"/>
          <w:b/>
          <w:bCs/>
          <w:spacing w:val="0"/>
          <w:rtl w:val="true"/>
        </w:rPr>
        <w:t xml:space="preserve">) </w:t>
      </w:r>
      <w:r>
        <w:rPr>
          <w:rFonts w:ascii="Arial" w:hAnsi="Arial" w:cs="Arial"/>
          <w:b/>
          <w:b/>
          <w:bCs/>
          <w:spacing w:val="0"/>
          <w:rtl w:val="true"/>
        </w:rPr>
        <w:t xml:space="preserve">פסקה </w:t>
      </w:r>
      <w:r>
        <w:rPr>
          <w:rFonts w:cs="Arial" w:ascii="Arial" w:hAnsi="Arial"/>
          <w:b/>
          <w:bCs/>
          <w:spacing w:val="0"/>
        </w:rPr>
        <w:t>6</w:t>
      </w:r>
      <w:r>
        <w:rPr>
          <w:rFonts w:cs="Arial" w:ascii="Arial" w:hAnsi="Arial"/>
          <w:b/>
          <w:bCs/>
          <w:spacing w:val="0"/>
          <w:rtl w:val="true"/>
        </w:rPr>
        <w:t xml:space="preserve">)).  </w:t>
      </w:r>
    </w:p>
    <w:p>
      <w:pPr>
        <w:pStyle w:val="Normal"/>
        <w:tabs>
          <w:tab w:val="left" w:pos="720" w:leader="none"/>
        </w:tabs>
        <w:ind w:hanging="720" w:start="746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נתתי דעתי לעקרון אחידות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המחייב לאזן נכונה בין עונשיהם של נאשמים המעורבים באותה פרשיה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בעבירה זהה לזו של הנאשם והושתו עליו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שאין להתעלם מהשוני בנסיבותיהם האישיות של שני הנאשמים הללו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ממידת מעורבותם בביצוע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ללא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הכף נוטה לחומרה לחובת 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ind w:hanging="720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נעלמו מעיני הודאת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החרטה והצער שהביע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נתתי דעתי למאמציו להשתקם באמצעות מטפלים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שהתרשמתי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הונע באמצעות משפחתו ועיקר מעייניו נתונים לריצוייה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לקוות שהנאשם נתרם מהטיפול ויפיק תועלת ממנו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ind w:hanging="720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 שיקולים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להתעלם מהערותיו של שרות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התרשם כי חרף מעורבותו של הנאשם בהליך הטיפולי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הוא נוטל אחריות מלאה על מעשיו ועדיין ניכרת עמדתו הקורבנית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אף אינו נרתם במלוא מאודו להליך הטיפולי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עמדה זו של שירות המבחן מקובלת עלי ונתמכת בהתרשמותי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הנאשם מונע על ידי משפחתו ואותה מבקש הוא לרצות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להתרשמותי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חוות דעתה של 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סטולפר נצבעה בצבעים בהירים ונגועה במגמתיות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בהיותה המטפלת האישית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ind w:hanging="720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שראוי ליתן ביטוי למאמצי השיקום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בשיקולים המקלים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שלא התקיים בו תנאי המצדיק חריגה ניכרת וקיצונית ממדיניות הענישה הרווחת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להסתפק בעונש מאסר שירוצה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שעתרה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החורג במידה ניכרת ממתחם הענישה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720" w:leader="none"/>
        </w:tabs>
        <w:ind w:hanging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בכל השיקולים המפורטים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לקולא ולחומרה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מטילה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tabs>
          <w:tab w:val="left" w:pos="720" w:leader="none"/>
        </w:tabs>
        <w:ind w:hanging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57" w:start="714" w:end="0"/>
        <w:contextualSpacing w:val="false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57" w:start="714" w:end="0"/>
        <w:contextualSpacing w:val="false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והתנאי הוא שהנאשם לא יעבור עבירה שהיא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57" w:start="714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תמורתו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before="0" w:after="120"/>
        <w:ind w:start="714" w:end="0"/>
        <w:contextualSpacing w:val="false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גזר דין זה נכתב ונערך מספר ימים טרם מועד הקראתו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הואיל והתקיים במועד דהיום דיון בשאלת חוות דעתו של הממונה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הפרפארזות עליהן נשענת חוות הדעת של הממונה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שדחיתי את בקשת הסניגור לדחות את מועד הדיון פעם נוספת כדי לאפשר לו לקבל פארפארזות ולנסות למצוא פתרון נוסף לעניין עבודות השירות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מצאתי לנכון להבהיר כי העונש כפי שהטלתי על הנאשם הוא העונש ההולם לדעתי את נסיבות המקרה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אם הייתה בפני חוות דעת חיובית מטעם הממונה לא הייתי משנה מגזר הדין כפי שניתן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46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העליון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כסלו התשע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321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</w:tblGrid>
      <w:tr>
        <w:trPr>
          <w:trHeight w:val="891" w:hRule="atLeast"/>
        </w:trPr>
        <w:tc>
          <w:tcPr>
            <w:tcW w:w="321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549" w:hRule="atLeast"/>
        </w:trPr>
        <w:tc>
          <w:tcPr>
            <w:tcW w:w="321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ורדה מרוז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26480-05-11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אברהם אביב אביטבול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end"/>
      <w:pPr>
        <w:tabs>
          <w:tab w:val="num" w:pos="720"/>
        </w:tabs>
        <w:ind w:start="720" w:hanging="360"/>
      </w:pPr>
      <w:rPr>
        <w:sz w:val="24"/>
        <w:b w:val="false"/>
        <w:szCs w:val="24"/>
        <w:bCs w:val="false"/>
        <w:rFonts w:ascii="Arial" w:hAnsi="Arial" w:cs="Arial"/>
        <w:lang w:bidi="he-IL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Arial" w:hAnsi="Arial" w:cs="Arial"/>
      <w:b w:val="false"/>
      <w:bCs w:val="false"/>
      <w:sz w:val="24"/>
      <w:szCs w:val="24"/>
      <w:lang w:bidi="he-IL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0">
    <w:name w:val="ruller40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747837" TargetMode="External"/><Relationship Id="rId9" Type="http://schemas.openxmlformats.org/officeDocument/2006/relationships/hyperlink" Target="http://www.nevo.co.il/case/5699080" TargetMode="External"/><Relationship Id="rId10" Type="http://schemas.openxmlformats.org/officeDocument/2006/relationships/hyperlink" Target="http://www.nevo.co.il/case/6054579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2016-03-14T10:40:00Z</dcterms:created>
  <dc:creator> </dc:creator>
  <dc:description/>
  <cp:keywords/>
  <dc:language>en-IL</dc:language>
  <cp:lastModifiedBy>hofit</cp:lastModifiedBy>
  <dcterms:modified xsi:type="dcterms:W3CDTF">2016-03-14T10:40:00Z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אברהם אביב אביטבול;אליאור ממן;מאור וקנין;סרגיי ורחובסקי;מאור אוחיון;חנן אוחיון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5747837;5699080;6054579</vt:lpwstr>
  </property>
  <property fmtid="{D5CDD505-2E9C-101B-9397-08002B2CF9AE}" pid="9" name="CITY">
    <vt:lpwstr>מרכז</vt:lpwstr>
  </property>
  <property fmtid="{D5CDD505-2E9C-101B-9397-08002B2CF9AE}" pid="10" name="DATE">
    <vt:lpwstr>20121125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ורדה מרוז</vt:lpwstr>
  </property>
  <property fmtid="{D5CDD505-2E9C-101B-9397-08002B2CF9AE}" pid="14" name="LAWLISTTMP1">
    <vt:lpwstr>70301/144.b2;031</vt:lpwstr>
  </property>
  <property fmtid="{D5CDD505-2E9C-101B-9397-08002B2CF9AE}" pid="15" name="LAWYER">
    <vt:lpwstr>אלון טנקג'י ;מאור וקנין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26480</vt:lpwstr>
  </property>
  <property fmtid="{D5CDD505-2E9C-101B-9397-08002B2CF9AE}" pid="22" name="NEWPARTB">
    <vt:lpwstr>05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390020121125</vt:lpwstr>
  </property>
  <property fmtid="{D5CDD505-2E9C-101B-9397-08002B2CF9AE}" pid="34" name="TYPE_N_DATE">
    <vt:lpwstr>39020121125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