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26563-03-14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עאסלה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26591-03-14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en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b/>
                <w:b/>
                <w:bCs/>
                <w:rtl w:val="true"/>
              </w:rPr>
              <w:t xml:space="preserve"> 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צ </w:t>
            </w:r>
            <w:r>
              <w:rPr>
                <w:b/>
                <w:bCs/>
              </w:rPr>
              <w:t>1106/14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אבראהים עאסלה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ליאורה חילו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עופר סבו מטעם הסניגוריה הציבורית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68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שעת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חירום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רישום ציוד וגיוסו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ז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אמנם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צדק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</w:t>
      </w:r>
      <w:hyperlink r:id="rId15">
        <w:r>
          <w:rPr>
            <w:rStyle w:val="Hyperlink"/>
            <w:rFonts w:ascii="Times New Roman" w:hAnsi="Times New Roman" w:cs="FrankRuehl"/>
            <w:color w:val="000000"/>
            <w:szCs w:val="26"/>
            <w:u w:val="non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00"/>
            <w:szCs w:val="26"/>
            <w:u w:val="none"/>
            <w:rtl w:val="true"/>
          </w:rPr>
          <w:t>העונשין</w:t>
        </w:r>
      </w:hyperlink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כטעמים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ההכרה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באפשרות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לחרוג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להתפתח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צדק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סיכון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בנתיב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תחבורה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הפרעה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לשוטר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מילוי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תפקידו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חציית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רצוף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מקרים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עקיפה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בצומת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מקרים</w:t>
      </w:r>
      <w:r>
        <w:rPr>
          <w:rFonts w:cs="FrankRuehl" w:ascii="Times New Roman" w:hAnsi="Times New Roman"/>
          <w:szCs w:val="26"/>
          <w:rtl w:val="true"/>
        </w:rPr>
        <w:t>)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המיוחדות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מצדיק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צדק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והימנעות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מהשתת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אמנם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צדק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הנזכרים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</w:t>
      </w:r>
      <w:hyperlink r:id="rId16">
        <w:r>
          <w:rPr>
            <w:rStyle w:val="Hyperlink"/>
            <w:rFonts w:ascii="Times New Roman" w:hAnsi="Times New Roman" w:cs="FrankRuehl"/>
            <w:color w:val="000000"/>
            <w:szCs w:val="26"/>
            <w:u w:val="non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00"/>
            <w:szCs w:val="26"/>
            <w:u w:val="none"/>
            <w:rtl w:val="true"/>
          </w:rPr>
          <w:t>העונשין</w:t>
        </w:r>
      </w:hyperlink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כטעמים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ההכרה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באפשרות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לחרוג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להתפתח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צדק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בהינתן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הבריאות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הרעוע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כשיר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אפילו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והשתת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קצרה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תביא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לשליחת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ובריח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תלכיד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ומאוזן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המקרה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דנן</w:t>
      </w:r>
      <w:r>
        <w:rPr>
          <w:rFonts w:eastAsia="Times New Roman"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eastAsia="Times New Roman" w:cs="FrankRuehl"/>
          <w:szCs w:val="26"/>
          <w:rtl w:val="true"/>
        </w:rPr>
        <w:t>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יכלול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בחובו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מוחשית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בדמות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צו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של</w:t>
      </w:r>
      <w:r>
        <w:rPr>
          <w:rFonts w:eastAsia="Times New Roman"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eastAsia="Times New Roman" w:cs="FrankRuehl"/>
          <w:szCs w:val="26"/>
          <w:rtl w:val="true"/>
        </w:rPr>
        <w:t>צ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בהיקף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נרחב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ומשמעותי</w:t>
      </w:r>
      <w:r>
        <w:rPr>
          <w:rFonts w:eastAsia="Times New Roman"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eastAsia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eastAsia="Times New Roman" w:cs="FrankRuehl"/>
          <w:szCs w:val="26"/>
          <w:rtl w:val="true"/>
        </w:rPr>
        <w:t>מותנים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נידון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 xml:space="preserve">- </w:t>
      </w:r>
      <w:r>
        <w:rPr>
          <w:rFonts w:cs="FrankRuehl" w:ascii="Times New Roman" w:hAnsi="Times New Roman"/>
          <w:szCs w:val="26"/>
        </w:rPr>
        <w:t>400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צ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10,000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cs="David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12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10" w:name="PsakDin"/>
      <w:bookmarkEnd w:id="10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ind w:end="0"/>
        <w:jc w:val="both"/>
        <w:rPr>
          <w:rFonts w:ascii="David" w:hAnsi="David" w:eastAsia="David" w:cs="David"/>
          <w:b w:val="false"/>
          <w:bCs w:val="false"/>
          <w:sz w:val="28"/>
          <w:szCs w:val="28"/>
          <w:u w:val="none"/>
        </w:rPr>
      </w:pPr>
      <w:r>
        <w:rPr>
          <w:rFonts w:eastAsia="David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מבוא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יוחסו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חציית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פנויה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בצומת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סטרי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תחילה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14.4.16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מכפירתו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הסדר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הטיעון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כתב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המתוקן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1077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סיכון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חיי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אנשים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בנתיב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תחבורה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332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eastAsia="Times New Roman" w:cs="Calibri" w:ascii="Calibri" w:hAnsi="Calibri"/>
        </w:rPr>
        <w:t>1977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העונשין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1077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הפרעה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לשוטר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בעת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מילוי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תפקידו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275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2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1077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חציית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הפרדה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רצוף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(</w:t>
      </w:r>
      <w:r>
        <w:rPr>
          <w:rFonts w:ascii="Calibri" w:hAnsi="Calibri" w:eastAsia="Times New Roman" w:cs="Calibri"/>
          <w:b/>
          <w:b/>
          <w:bCs/>
          <w:rtl w:val="true"/>
        </w:rPr>
        <w:t>ריבוי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מקרים</w:t>
      </w:r>
      <w:r>
        <w:rPr>
          <w:rFonts w:eastAsia="Times New Roman" w:cs="Calibri" w:ascii="Calibri" w:hAnsi="Calibri"/>
          <w:b/>
          <w:bCs/>
          <w:rtl w:val="true"/>
        </w:rPr>
        <w:t>)</w:t>
      </w:r>
      <w:r>
        <w:rPr>
          <w:rFonts w:eastAsia="Times New Roman" w:cs="Calibri" w:ascii="Calibri" w:hAnsi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47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2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hyperlink r:id="rId24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68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2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התעבורה</w:t>
        </w:r>
      </w:hyperlink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57" w:start="1077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עקיפה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בצומת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(</w:t>
      </w:r>
      <w:r>
        <w:rPr>
          <w:rFonts w:ascii="Calibri" w:hAnsi="Calibri" w:eastAsia="Times New Roman" w:cs="Calibri"/>
          <w:b/>
          <w:b/>
          <w:bCs/>
          <w:rtl w:val="true"/>
        </w:rPr>
        <w:t>ריבוי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מקרים</w:t>
      </w:r>
      <w:r>
        <w:rPr>
          <w:rFonts w:eastAsia="Times New Roman" w:cs="Calibri" w:ascii="Calibri" w:hAnsi="Calibri"/>
          <w:b/>
          <w:bCs/>
          <w:rtl w:val="true"/>
        </w:rPr>
        <w:t>)</w:t>
      </w:r>
      <w:r>
        <w:rPr>
          <w:rFonts w:eastAsia="Times New Roman" w:cs="Calibri" w:ascii="Calibri" w:hAnsi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47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2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hyperlink r:id="rId29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68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3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הערה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הוריתי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תסקיר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משלימים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מונחים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21.11.16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הממונה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מסמרות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ציפייה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מונחת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100%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כתב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המתוקן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5.3.14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שחר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בקשה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הגולן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טויוטה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לאנד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קרוזר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ascii="Calibri" w:hAnsi="Calibri" w:eastAsia="Times New Roman" w:cs="Calibri"/>
          <w:rtl w:val="true"/>
        </w:rPr>
        <w:t>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eastAsia="Times New Roman" w:cs="Calibri" w:ascii="Calibri" w:hAnsi="Calibri"/>
        </w:rPr>
        <w:t>8405366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הרכב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מהבהבים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ובאפודה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לצומת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להזיז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הכביש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בתגובה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ולברוח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קפץ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מפגיעה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מהבהבים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וסירנה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שיעצור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המכוניות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המפותל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שסומנו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הכביש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לקיבוץ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פנויה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דרומה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נתיבים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התחשבות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ובהתעלמות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לצמתים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הנגדי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בכניסה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לקיבוץ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כינרת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מדשאה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המדשאה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טבריה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יבניאל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עקיפות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המפותל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הוקפצו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בסבך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למנחמיה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רלוונטית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המשטרתי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רלוונטית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והדגישה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ביטחונם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נציגי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בלעדי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ולאמון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הבטיחות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הבטיחות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המתבטא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מופרך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באובדן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שהתחילו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והסתיימו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להגדירן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כמעידה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להסתתר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נקודת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40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בהדגישה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להקפיד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לתרץ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ובשילוב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הצעתה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הצפויה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ההרשעה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דופן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התייחסה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לופוליאנסקי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בהדגישה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נדירים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מהתיעוד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להרתעת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שנדונו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שהבהירה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מעמדתה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מלכתחילה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27.2.17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המשתמשים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בדרכים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צומצם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שיוחסו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טווח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מהאירוע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מתגורר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עראבה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הלאומי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בפיקוח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אלקטרוני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כעשרה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יחסית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1968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מכביד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מתאים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לופוליאנסקי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לנהלי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מרדפים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בכריזה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מכאן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בגזירת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נכבד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התדרדרות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27.2.17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בתאונה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רצינית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רלוונטי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המעיד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הסוכרת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וללכת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6.7.16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מוסלמי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הארץ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36-45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מתגורר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עראבה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מהביטוח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הלאומי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סוכרת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בתפקוד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יומיומי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חקלאיות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ספסל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הלימודים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בפרנסת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לעסוק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החקלאות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57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לאומי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צנתורים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הסוכרת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1983-2010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1977-2014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מופרזת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הגולן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הבחינו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הקוטפים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העכובית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המשמש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הקטיף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בדרכם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הבחין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הבחין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הדולק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בבריחה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מחשש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בכוונת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הנוסעים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ובנוסעי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בפקח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כלשהו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והושפל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חוויה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לקטיף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העכובית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הקוטפים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לקטוף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לעבריינות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חיצוני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המגלה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רגשותיו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מועצמים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מווסתת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מחושבת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כמתואר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מתרשם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בהפקת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אימפולסיבית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להירתע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מסנקציות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והזדהות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ונורמות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עברייניים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ובהיעדר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להתדרדרות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ופיזית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eastAsia="Times New Roman" w:cs="Calibri" w:ascii="Calibri" w:hAnsi="Calibri"/>
          <w:rtl w:val="true"/>
        </w:rPr>
        <w:t xml:space="preserve">. 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21.9.16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בהתייחסותו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ומתחרט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בבריחה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הבחין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העכובית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ברשותו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הפקח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הבחין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מבוהל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מתחושות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המציפות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23.2.17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בהתלבטות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הנדונות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נפתחו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ממושכת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ונכונותו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תמחיש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בעיריית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נין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תחזוקה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והכרעה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חציית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ריבוי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ריבוי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אינני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מדברות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ושלישית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864/12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מוחמד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סעד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5.8.13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נמשך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שבאנו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לדרישות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בראש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ובראשונה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שלטון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לגורמים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האוכפים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הבטיחות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המשתמשים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מתוקנת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תופעות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וביריונית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המסכנת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291/13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טלאב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אבראהים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22.12.13</w:t>
      </w:r>
      <w:r>
        <w:rPr>
          <w:rFonts w:eastAsia="Times New Roman" w:cs="Calibri" w:ascii="Calibri" w:hAnsi="Calibri"/>
          <w:rtl w:val="true"/>
        </w:rPr>
        <w:t>)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עניין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טאלב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אבראהים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העבירה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סיכון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חיי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אדם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במזיד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בנתיב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תחבורה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טומנת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בחובה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פוטנציאל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סיכון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משמעותי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לציבור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משתמשי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הדרך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מביצועה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ניכר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זלזול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בחוק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ובמשרתי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הציבור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האמונים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אכיפתו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פגיעה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בערכים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חשובים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בשיטתנו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היא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העומדת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בבסיס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מגמת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הפסיקה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להחמרת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בגינה</w:t>
      </w:r>
      <w:r>
        <w:rPr>
          <w:rFonts w:eastAsia="Times New Roman" w:cs="Calibri" w:ascii="Calibri" w:hAnsi="Calibri"/>
          <w:bCs/>
          <w:i/>
          <w:sz w:val="22"/>
          <w:rtl w:val="true"/>
        </w:rPr>
        <w:t>...".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3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3757/12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מחראב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24.6.12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בפני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חוזרים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ומובאים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מקרים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שעניינם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מרדפים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המסכנים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חיי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אדם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והוא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אף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הגדיר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אותם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</w:t>
      </w: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מכת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מדינה</w:t>
      </w:r>
      <w:r>
        <w:rPr>
          <w:rFonts w:eastAsia="Times New Roman" w:cs="Calibri" w:ascii="Calibri" w:hAnsi="Calibri"/>
          <w:bCs/>
          <w:i/>
          <w:sz w:val="22"/>
          <w:rtl w:val="true"/>
        </w:rPr>
        <w:t>" (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ראו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: </w:t>
      </w:r>
      <w:hyperlink r:id="rId34"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</w:rPr>
          <w:t>10340/07</w:t>
        </w:r>
      </w:hyperlink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חובלשוילי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  <w:rtl w:val="true"/>
        </w:rPr>
        <w:t>([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], </w:t>
      </w:r>
      <w:r>
        <w:rPr>
          <w:rFonts w:eastAsia="Times New Roman" w:cs="Calibri" w:ascii="Calibri" w:hAnsi="Calibri"/>
          <w:bCs/>
          <w:i/>
          <w:sz w:val="22"/>
        </w:rPr>
        <w:t>6.2.2008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פסקה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</w:t>
      </w:r>
      <w:r>
        <w:rPr>
          <w:rFonts w:eastAsia="Times New Roman" w:cs="Calibri" w:ascii="Calibri" w:hAnsi="Calibri"/>
          <w:bCs/>
          <w:i/>
          <w:sz w:val="22"/>
          <w:rtl w:val="true"/>
        </w:rPr>
        <w:t>(</w:t>
      </w:r>
      <w:r>
        <w:rPr>
          <w:rFonts w:eastAsia="Times New Roman" w:cs="Calibri" w:ascii="Calibri" w:hAnsi="Calibri"/>
          <w:bCs/>
          <w:i/>
          <w:sz w:val="22"/>
        </w:rPr>
        <w:t>4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לפסק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דינו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השופט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רובינשטיין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בהתאמה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נפסק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להחמיר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עונשם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אלו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המסכנים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שלום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הציבור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נהיגה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פראית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ומסוכנת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יפים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לעניין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דבריו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השופט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לוי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</w:t>
      </w:r>
      <w:hyperlink r:id="rId35"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</w:rPr>
          <w:t>7798/08</w:t>
        </w:r>
      </w:hyperlink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יעקב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שביקוב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  <w:rtl w:val="true"/>
        </w:rPr>
        <w:t>([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], </w:t>
      </w:r>
      <w:r>
        <w:rPr>
          <w:rFonts w:eastAsia="Times New Roman" w:cs="Calibri" w:ascii="Calibri" w:hAnsi="Calibri"/>
          <w:bCs/>
          <w:i/>
          <w:sz w:val="22"/>
        </w:rPr>
        <w:t>22.1.2009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): </w:t>
      </w:r>
    </w:p>
    <w:p>
      <w:pPr>
        <w:pStyle w:val="Normal"/>
        <w:spacing w:lineRule="auto" w:line="360"/>
        <w:ind w:start="1134" w:end="862"/>
        <w:jc w:val="both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נדמה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צורך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לחזור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ולהזכיר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המצב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הנורא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השורר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בדרכים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תורם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שמוגדר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</w:t>
      </w: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גורם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האנושי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משקל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מכריע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מחירו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נגע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התאונות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משלמים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כמעט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כעניין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יום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יום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בחייהם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ולרוב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באנשים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תמימים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שלרוע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מזלם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נקלעו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לדרכו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נהג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עבריין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שחטא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בחוסר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תשומת</w:t>
      </w:r>
      <w:r>
        <w:rPr>
          <w:rFonts w:eastAsia="Times New Roman" w:cs="Calibri" w:ascii="Calibri" w:hAnsi="Calibri"/>
          <w:bCs/>
          <w:i/>
          <w:sz w:val="22"/>
          <w:rtl w:val="true"/>
        </w:rPr>
        <w:t>-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רגעית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ואם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בכך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די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אנו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עדים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בשנים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האחרונות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לתופעה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חמורה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נוספת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ששוב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אינה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נחלתם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יחידים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נהגים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שנדרשים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ידי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שוטרים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לעצור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לבדיקה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שגרתית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כתוצאה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מביצוע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תעבורה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נמלטים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בנסיעה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מהירה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וכתוצאה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מכך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מתפתח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מרדף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מסכנים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הרודפים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הנרדף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ואזרחים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תמימים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חייהם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נוכח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מציאות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קשה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נדרשו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בתי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תרומתם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לביעור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תופעה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כרוכים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סכנה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לכלל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זלזול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מופגן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ובוטה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בחוק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ובאלה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השוקדים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אכיפתו</w:t>
      </w:r>
      <w:r>
        <w:rPr>
          <w:rFonts w:eastAsia="Times New Roman" w:cs="Calibri" w:ascii="Calibri" w:hAnsi="Calibri"/>
          <w:bCs/>
          <w:i/>
          <w:sz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ומוחשי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אופיים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ניבטים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מהוראת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בבריחה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נאלץ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לקפוץ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בניידת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מהבהבים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ובהפעלת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סירנה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שיעצור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לניסיונות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הפרועה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התנועה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המכוניות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מפותל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שסומנו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הכביש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פנויה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נתיבים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התחשבות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לסטייה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לסימונו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מרכבו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בבריחה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לבסוף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בסבך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ממחישים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החולפים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לנוסעות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הישובות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והעצים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מימד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מסימוניו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החוזרים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בבריחה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שהתקדם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לנוסעים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למשתמשים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בדרכים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לנוסעות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לסוגיית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התאמתו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לנהלי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מרדפים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טענות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מהבהבים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ובליווי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סירנה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שיעצור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ובאפודה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וסימן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המרדף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צפוי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לגוף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הימצאותן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לשלומן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ומחששו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וביושבי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הנוסעים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הביטחון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וראויים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גנאי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העדכני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23/2/17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העכובית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ברשותו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הפקח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בוודאי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יובהר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כלשהי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הראויים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להוקעה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גנאי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בלעדי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במשמעותו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המובהקת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השתלשלות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מנסיעתו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ולעצור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טלאב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אבראהים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הוזכר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"...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בפסיקה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נקבע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רף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</w:rPr>
        <w:t>4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  <w:rtl w:val="true"/>
        </w:rPr>
        <w:t>(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בטרם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נחקק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תיקון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</w:rPr>
        <w:t>113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;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ראו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hyperlink r:id="rId36"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</w:rPr>
          <w:t>2410/04</w:t>
        </w:r>
      </w:hyperlink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אבולקיעאן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  <w:rtl w:val="true"/>
        </w:rPr>
        <w:t>[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bCs/>
          <w:i/>
          <w:sz w:val="22"/>
          <w:rtl w:val="true"/>
        </w:rPr>
        <w:t>] (</w:t>
      </w:r>
      <w:r>
        <w:rPr>
          <w:rFonts w:eastAsia="Times New Roman" w:cs="Calibri" w:ascii="Calibri" w:hAnsi="Calibri"/>
          <w:bCs/>
          <w:i/>
          <w:sz w:val="22"/>
        </w:rPr>
        <w:t>11.11.2004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); </w:t>
      </w:r>
      <w:hyperlink r:id="rId37"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bCs/>
            <w:i/>
            <w:i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bCs/>
            <w:i/>
            <w:color w:val="0000FF"/>
            <w:sz w:val="22"/>
            <w:u w:val="single"/>
          </w:rPr>
          <w:t>5778/11</w:t>
        </w:r>
      </w:hyperlink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ביטון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פס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' </w:t>
      </w:r>
      <w:r>
        <w:rPr>
          <w:rFonts w:eastAsia="Times New Roman" w:cs="Calibri" w:ascii="Calibri" w:hAnsi="Calibri"/>
          <w:bCs/>
          <w:i/>
          <w:sz w:val="22"/>
        </w:rPr>
        <w:t>5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 [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פורסם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בנבו</w:t>
      </w:r>
      <w:r>
        <w:rPr>
          <w:rFonts w:eastAsia="Times New Roman" w:cs="Calibri" w:ascii="Calibri" w:hAnsi="Calibri"/>
          <w:bCs/>
          <w:i/>
          <w:sz w:val="22"/>
          <w:rtl w:val="true"/>
        </w:rPr>
        <w:t>] (</w:t>
      </w:r>
      <w:r>
        <w:rPr>
          <w:rFonts w:eastAsia="Times New Roman" w:cs="Calibri" w:ascii="Calibri" w:hAnsi="Calibri"/>
          <w:bCs/>
          <w:i/>
          <w:sz w:val="22"/>
        </w:rPr>
        <w:t>13.9.2011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והפסיקה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המוזכרת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).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רף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יכול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לשמש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אותנו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כנקודת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המוצא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לעונש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בסיסה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נעצב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ההולם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בהתאם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לנסיבות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הייחודיות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המקרה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הנדון</w:t>
      </w:r>
      <w:r>
        <w:rPr>
          <w:rFonts w:eastAsia="Times New Roman" w:cs="Calibri" w:ascii="Calibri" w:hAnsi="Calibri"/>
          <w:bCs/>
          <w:i/>
          <w:sz w:val="22"/>
          <w:rtl w:val="true"/>
        </w:rPr>
        <w:t>...".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טלאב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איבראהים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שהתרחש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מרכזי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שביכולתו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למשתמשים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הפוטנציאלי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הטמון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הצטרפה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שוהים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4894/13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יחזקאל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סלע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23.1.2014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מהלכי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בשכרות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לצריכה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נדחה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5078-04-13</w:t>
        </w:r>
      </w:hyperlink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אביב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לואי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שטארה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ואח</w:t>
      </w:r>
      <w:r>
        <w:rPr>
          <w:rFonts w:eastAsia="Times New Roman" w:cs="Calibri" w:ascii="Calibri" w:hAnsi="Calibri"/>
          <w:b/>
          <w:bCs/>
          <w:rtl w:val="true"/>
        </w:rPr>
        <w:t>'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4.11.13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גניבת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גניבת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וחמישה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42744-02-12</w:t>
        </w:r>
      </w:hyperlink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נצרת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סאבר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אבראהים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10.7.13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פזיזות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ורשלנות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מנתיב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פנויה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5446/13</w:t>
        </w:r>
      </w:hyperlink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ascii="Calibri" w:hAnsi="Calibri" w:eastAsia="Times New Roman" w:cs="Calibri"/>
          <w:rtl w:val="true"/>
        </w:rPr>
        <w:t>נדחה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"...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וטומנים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ובביטחונו</w:t>
      </w:r>
      <w:r>
        <w:rPr>
          <w:rFonts w:eastAsia="Times New Roman" w:cs="Calibri" w:ascii="Calibri" w:hAnsi="Calibri"/>
          <w:rtl w:val="true"/>
        </w:rPr>
        <w:t xml:space="preserve">...".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10677/07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פואד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קוידר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24.2.08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הייחודיות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שיהוי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הפרשה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hyperlink r:id="rId4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6777-12-14</w:t>
        </w:r>
      </w:hyperlink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נצרת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מיכאל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פריטיקו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13.9.16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פוליסה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פסילת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החיוביות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מסקנה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בבוא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ביהמ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ביהמ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העומדים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גניבה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שעת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חירום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רישום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ציוד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וגיוסו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נרשמה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1/12/10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2005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התיישנו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להבדיל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ממחיקתן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הקודמות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במגוון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מופרזת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חגורת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בטיחות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השפעת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סמים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ascii="Calibri" w:hAnsi="Calibri" w:eastAsia="Times New Roman" w:cs="Calibri"/>
          <w:rtl w:val="true"/>
        </w:rPr>
        <w:t>אלכוהול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וכהנה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1977-2013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ומרביתן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התיישנו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להבדיל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ממחיקתן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יוער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16/6/14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2013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חיצוני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מגלה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מווסתת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מחושבת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ונראה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אימפולסיבית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להירתע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מסנקציות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והזדהות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ונורמות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עברייניים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בינונית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העדכני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ומתחרט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נפתחו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1952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צנתורי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הסוכרת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יוזכר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הירוד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הרופא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100%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נוירולוגיות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מאמץ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מאומצת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להשמה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החיסכון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תחילה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בפיקוח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אלקטרוני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5/3/14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ומאז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והסתבך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מהשתלשלות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מתחושות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שתקפו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והסופי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להתדרדרות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ופיזית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שבענייננו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המיוחדות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המנויות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4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hyperlink r:id="rId4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מנגד</w:t>
      </w:r>
      <w:r>
        <w:rPr>
          <w:rFonts w:eastAsia="Times New Roman" w:cs="Calibri" w:ascii="Calibri" w:hAnsi="Calibri"/>
          <w:rtl w:val="true"/>
        </w:rPr>
        <w:t xml:space="preserve">, </w:t>
      </w:r>
      <w:hyperlink r:id="rId4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והרחקתו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הנזכרים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4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כטעמים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ההכרה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המצדיקים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והמגבלות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ascii="Calibri" w:hAnsi="Calibri" w:eastAsia="Times New Roman" w:cs="Calibri"/>
          <w:rtl w:val="true"/>
        </w:rPr>
        <w:t>אורן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חריגה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ממתחם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ההולם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יפורסם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קרן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אזולאי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אהרן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ליפשיץ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עורכים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2015</w:t>
      </w:r>
      <w:r>
        <w:rPr>
          <w:rFonts w:eastAsia="Times New Roman" w:cs="Calibri" w:ascii="Calibri" w:hAnsi="Calibri"/>
          <w:rtl w:val="true"/>
        </w:rPr>
        <w:t xml:space="preserve">); </w:t>
      </w:r>
      <w:r>
        <w:rPr>
          <w:rFonts w:ascii="Calibri" w:hAnsi="Calibri" w:eastAsia="Times New Roman" w:cs="Calibri"/>
          <w:rtl w:val="true"/>
        </w:rPr>
        <w:t>יובל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ליבדרו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חריגה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ממתחם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מטעמי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צדק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הסניגור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4-5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eastAsia="Times New Roman" w:cs="Calibri" w:ascii="Calibri" w:hAnsi="Calibri"/>
        </w:rPr>
        <w:t>2013</w:t>
      </w:r>
      <w:r>
        <w:rPr>
          <w:rFonts w:eastAsia="Times New Roman"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נופלים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hyperlink r:id="rId5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5669/14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לופוליאנסקי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29.12.15</w:t>
      </w:r>
      <w:r>
        <w:rPr>
          <w:rFonts w:eastAsia="Times New Roman" w:cs="Calibri" w:ascii="Calibri" w:hAnsi="Calibri"/>
          <w:rtl w:val="true"/>
        </w:rPr>
        <w:t>)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עניין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לופוליאנסקי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שתוחלת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תתקצר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שמוסמך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השופט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פוגלמן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לופוליאנסקי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להשקפתי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עקרון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המידתיות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בענישה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שעקבותיו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ניכרים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אחת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הותווה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שיקול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הדעת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השיפוטי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בקביעת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התיקון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השלבים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השונים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הקבועים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צריך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להנחותנו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באותם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מקרים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חריגים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וקיצוניים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שבהם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יהיה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–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בגדר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הקיים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וכל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שונה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–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לחרוג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נוכח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שיקולי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צדק</w:t>
      </w:r>
      <w:r>
        <w:rPr>
          <w:rFonts w:eastAsia="Times New Roman" w:cs="Calibri" w:ascii="Calibri" w:hAnsi="Calibri"/>
          <w:bCs/>
          <w:i/>
          <w:sz w:val="22"/>
          <w:rtl w:val="true"/>
        </w:rPr>
        <w:t>.</w:t>
      </w:r>
    </w:p>
    <w:p>
      <w:pPr>
        <w:pStyle w:val="Normal"/>
        <w:spacing w:lineRule="auto" w:line="360"/>
        <w:ind w:start="1134" w:end="862"/>
        <w:jc w:val="both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  <w:t>...</w:t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בשלבים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שונים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ההליך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הפלילי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לרבות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בעניין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גזירת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העונש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ראה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המחוקק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להותיר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שיקול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דעת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רחב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במטרה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לאפשר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להגיע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לתוצאה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צודקת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והוגנת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כזו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שתתאים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לנסיבות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המקרה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שהובא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לפניו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שנעשה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במקרים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חריגים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לגבי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חריגה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לקולה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ההולם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במצבים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שאינם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נופלים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לחריג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השיקום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להשקפתי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בסוג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מקרים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להלום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מצב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שלפיו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ייכפה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לגזור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בלתי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מידתי</w:t>
      </w:r>
      <w:r>
        <w:rPr>
          <w:rFonts w:eastAsia="Times New Roman" w:cs="Calibri" w:ascii="Calibri" w:hAnsi="Calibri"/>
          <w:bCs/>
          <w:i/>
          <w:sz w:val="22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בפתיחת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המתעורר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ונדירים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צודקת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והוגנת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פרטניים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לופוליאנסקי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הימנעות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העיקרון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וסבורני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וחריגים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מהתיעוד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מאוזנת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והפרעות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ובעמידה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צנתורי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נבדק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100%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כרוניות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במערכות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נוירולוגיות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וחריגות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תביא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לשליחת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הרעוע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ובאיזוק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אלקטרוני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לופוליאנסקי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862"/>
        <w:jc w:val="both"/>
        <w:rPr/>
      </w:pP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בבוא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לשקול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חריגה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מטעמי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צדק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ההולם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שומה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לאזן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טעמי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הצדק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המצדיקים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חריגה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חומרת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המעשים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שבהם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הורשע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בקטגוריה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עסקינן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לבחון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עלול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לסכן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חייו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שהורשע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בדין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לקצר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בצורה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ניכרת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תוחלת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חייו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ולהביא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מנגד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כאמור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חומרת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המעשים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שבהם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הורשע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תוצאת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איזון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עשויה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להיות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שליחתו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הנמוך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מתחתית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שנקבע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;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הימנעות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מהשתת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מקום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שבו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רצפת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ההולם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כוללת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הכל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נסיבות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Cs/>
          <w:i/>
          <w:i/>
          <w:sz w:val="22"/>
          <w:sz w:val="22"/>
          <w:rtl w:val="true"/>
        </w:rPr>
        <w:t>המקרה</w:t>
      </w:r>
      <w:r>
        <w:rPr>
          <w:rFonts w:eastAsia="Times New Roman" w:cs="Calibri" w:ascii="Calibri" w:hAnsi="Calibri"/>
          <w:bCs/>
          <w:i/>
          <w:sz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Cs/>
          <w:i/>
          <w:i/>
          <w:sz w:val="22"/>
        </w:rPr>
      </w:pPr>
      <w:r>
        <w:rPr>
          <w:rFonts w:eastAsia="Times New Roman" w:cs="Calibri" w:ascii="Calibri" w:hAnsi="Calibri"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לסיכום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שסבורני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צדק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והימנעות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תלכיד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ומאוזן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ומשמעותי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והאינטרס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המתהפכת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מעל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ותוצאותיהם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100%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ומתקיים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לביטוח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לאומי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שקללתי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פסיקתו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העדכנית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שמעון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אזולאי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השופט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התעבורתי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לשקלל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המבוגר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הבינוני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תחזוקה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בעיריית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נין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הובהרה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וכדבעי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והנפקויות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בנתיב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ד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תמורתו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יאוחר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1.6.17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ועוקב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תגרור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פיגורים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פוסלת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ומלהחזיק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בניכוי תקופות הפסילה המנהליות בהן שהה הנאשם בגין ההליכים נשוא תיק 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ככל שהיו כאלה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ניסן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/>
        <w:t>24/04/2017</w:t>
      </w:r>
      <w:r>
        <w:rPr>
          <w:rtl w:val="true"/>
        </w:rPr>
        <w:t xml:space="preserve"> </w:t>
      </w:r>
      <w:r>
        <w:rPr>
          <w:rtl w:val="true"/>
        </w:rPr>
        <w:t>במעמד הנוכחים</w:t>
      </w:r>
      <w:r>
        <w:rPr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61" w:hRule="atLeast"/>
        </w:trPr>
        <w:tc>
          <w:tcPr>
            <w:tcW w:w="3936" w:type="dxa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תפעל כנדרש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ניסן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24/04/2017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נוכח עמדות הצדדים</w:t>
      </w:r>
      <w:r>
        <w:rPr>
          <w:rtl w:val="true"/>
        </w:rPr>
        <w:t xml:space="preserve">, </w:t>
      </w:r>
      <w:r>
        <w:rPr>
          <w:rtl w:val="true"/>
        </w:rPr>
        <w:t>הנני מעכבת בזאת את ביצוע רכיבי צו השל</w:t>
      </w:r>
      <w:r>
        <w:rPr>
          <w:rtl w:val="true"/>
        </w:rPr>
        <w:t>"</w:t>
      </w:r>
      <w:r>
        <w:rPr>
          <w:rtl w:val="true"/>
        </w:rPr>
        <w:t xml:space="preserve">צ והפסילה בפועל שהושתה על הנאשם במסגרת גזר הדין וזאת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 כדי לאפשר לב</w:t>
      </w:r>
      <w:r>
        <w:rPr>
          <w:rtl w:val="true"/>
        </w:rPr>
        <w:t>"</w:t>
      </w:r>
      <w:r>
        <w:rPr>
          <w:rtl w:val="true"/>
        </w:rPr>
        <w:t>כ הצדדים כמפורט לעיל לשקול הגשת ערעור על רכיבים אלו לבית המשפט 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בתום התקופה האמורה וככל שצו השל</w:t>
      </w:r>
      <w:r>
        <w:rPr>
          <w:rtl w:val="true"/>
        </w:rPr>
        <w:t>"</w:t>
      </w:r>
      <w:r>
        <w:rPr>
          <w:rtl w:val="true"/>
        </w:rPr>
        <w:t>צ יוותר על כנו</w:t>
      </w:r>
      <w:r>
        <w:rPr>
          <w:rtl w:val="true"/>
        </w:rPr>
        <w:t xml:space="preserve">, </w:t>
      </w:r>
      <w:r>
        <w:rPr>
          <w:rtl w:val="true"/>
        </w:rPr>
        <w:t>יקבע שירות המבחן מועד חדש לתחילת ביצוע צו 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המזכירות תמציא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אפוא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העתק החלטה זו גם כן לשירות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למען הסר ספק יובהר</w:t>
      </w:r>
      <w:r>
        <w:rPr>
          <w:rtl w:val="true"/>
        </w:rPr>
        <w:t xml:space="preserve">, </w:t>
      </w:r>
      <w:r>
        <w:rPr>
          <w:rtl w:val="true"/>
        </w:rPr>
        <w:t>כי יתר הרכיבים בגזר הדין</w:t>
      </w:r>
      <w:r>
        <w:rPr>
          <w:rtl w:val="true"/>
        </w:rPr>
        <w:t xml:space="preserve">, </w:t>
      </w:r>
      <w:r>
        <w:rPr>
          <w:rtl w:val="true"/>
        </w:rPr>
        <w:t>אינם מעוכבים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24/04/2017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61" w:hRule="atLeast"/>
        </w:trPr>
        <w:tc>
          <w:tcPr>
            <w:tcW w:w="393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26563-03-14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אבראהים עאסלה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72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9z0">
    <w:name w:val="WW8Num19z0"/>
    <w:qFormat/>
    <w:rPr>
      <w:rFonts w:cs="Times New Roman"/>
    </w:rPr>
  </w:style>
  <w:style w:type="character" w:styleId="WW8Num19z1">
    <w:name w:val="WW8Num19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color w:val="808080"/>
    </w:rPr>
  </w:style>
  <w:style w:type="character" w:styleId="Style11">
    <w:name w:val="טקסט בלונים תו"/>
    <w:qFormat/>
    <w:rPr>
      <w:rFonts w:ascii="Tahoma" w:hAnsi="Tahoma" w:eastAsia="David" w:cs="Tahoma"/>
      <w:sz w:val="16"/>
      <w:szCs w:val="16"/>
      <w:lang w:val="en-US" w:bidi="he-IL"/>
    </w:rPr>
  </w:style>
  <w:style w:type="character" w:styleId="Style12">
    <w:name w:val="ציטוט תו"/>
    <w:qFormat/>
    <w:rPr>
      <w:rFonts w:ascii="Calibri" w:hAnsi="Calibri" w:cs="David"/>
      <w:bCs/>
      <w:i/>
      <w:sz w:val="22"/>
      <w:szCs w:val="24"/>
      <w:lang w:val="en-US" w:bidi="he-IL"/>
    </w:rPr>
  </w:style>
  <w:style w:type="character" w:styleId="Style13">
    <w:name w:val="כותרת עליונה תו"/>
    <w:qFormat/>
    <w:rPr>
      <w:rFonts w:ascii="David" w:hAnsi="David" w:eastAsia="David" w:cs="David"/>
      <w:sz w:val="24"/>
      <w:szCs w:val="24"/>
      <w:lang w:val="en-US" w:bidi="he-IL"/>
    </w:rPr>
  </w:style>
  <w:style w:type="character" w:styleId="Style14">
    <w:name w:val="כותרת תחתונה תו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Quote">
    <w:name w:val="Quote"/>
    <w:basedOn w:val="Normal"/>
    <w:next w:val="Normal"/>
    <w:qFormat/>
    <w:pPr>
      <w:spacing w:lineRule="auto" w:line="360"/>
      <w:ind w:hanging="0" w:start="1134" w:end="862"/>
      <w:jc w:val="both"/>
    </w:pPr>
    <w:rPr>
      <w:rFonts w:ascii="Calibri" w:hAnsi="Calibri" w:eastAsia="Times New Roman" w:cs="Calibri"/>
      <w:bCs/>
      <w:i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47.e.5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2.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4274" TargetMode="External"/><Relationship Id="rId10" Type="http://schemas.openxmlformats.org/officeDocument/2006/relationships/hyperlink" Target="http://www.nevo.co.il/law/74274/47.e.5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62.2" TargetMode="External"/><Relationship Id="rId13" Type="http://schemas.openxmlformats.org/officeDocument/2006/relationships/hyperlink" Target="http://www.nevo.co.il/law/5227/68" TargetMode="External"/><Relationship Id="rId14" Type="http://schemas.openxmlformats.org/officeDocument/2006/relationships/hyperlink" Target="http://www.nevo.co.il/law/4243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2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7.e.5" TargetMode="External"/><Relationship Id="rId22" Type="http://schemas.openxmlformats.org/officeDocument/2006/relationships/hyperlink" Target="http://www.nevo.co.il/law/74274" TargetMode="External"/><Relationship Id="rId23" Type="http://schemas.openxmlformats.org/officeDocument/2006/relationships/hyperlink" Target="http://www.nevo.co.il/law/5227/62.2" TargetMode="External"/><Relationship Id="rId24" Type="http://schemas.openxmlformats.org/officeDocument/2006/relationships/hyperlink" Target="http://www.nevo.co.il/law/5227/68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274/47.e.5" TargetMode="External"/><Relationship Id="rId27" Type="http://schemas.openxmlformats.org/officeDocument/2006/relationships/hyperlink" Target="http://www.nevo.co.il/law/74274" TargetMode="External"/><Relationship Id="rId28" Type="http://schemas.openxmlformats.org/officeDocument/2006/relationships/hyperlink" Target="http://www.nevo.co.il/law/5227/62.2" TargetMode="External"/><Relationship Id="rId29" Type="http://schemas.openxmlformats.org/officeDocument/2006/relationships/hyperlink" Target="http://www.nevo.co.il/law/5227/68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case/5573417" TargetMode="External"/><Relationship Id="rId32" Type="http://schemas.openxmlformats.org/officeDocument/2006/relationships/hyperlink" Target="http://www.nevo.co.il/case/5568809" TargetMode="External"/><Relationship Id="rId33" Type="http://schemas.openxmlformats.org/officeDocument/2006/relationships/hyperlink" Target="http://www.nevo.co.il/case/5585148" TargetMode="External"/><Relationship Id="rId34" Type="http://schemas.openxmlformats.org/officeDocument/2006/relationships/hyperlink" Target="http://www.nevo.co.il/case/5753412" TargetMode="External"/><Relationship Id="rId35" Type="http://schemas.openxmlformats.org/officeDocument/2006/relationships/hyperlink" Target="http://www.nevo.co.il/case/6113286" TargetMode="External"/><Relationship Id="rId36" Type="http://schemas.openxmlformats.org/officeDocument/2006/relationships/hyperlink" Target="http://www.nevo.co.il/case/5831242" TargetMode="External"/><Relationship Id="rId37" Type="http://schemas.openxmlformats.org/officeDocument/2006/relationships/hyperlink" Target="http://www.nevo.co.il/case/6032366" TargetMode="External"/><Relationship Id="rId38" Type="http://schemas.openxmlformats.org/officeDocument/2006/relationships/hyperlink" Target="http://www.nevo.co.il/case/7776276" TargetMode="External"/><Relationship Id="rId39" Type="http://schemas.openxmlformats.org/officeDocument/2006/relationships/hyperlink" Target="http://www.nevo.co.il/case/6864983" TargetMode="External"/><Relationship Id="rId40" Type="http://schemas.openxmlformats.org/officeDocument/2006/relationships/hyperlink" Target="http://www.nevo.co.il/case/5506314" TargetMode="External"/><Relationship Id="rId41" Type="http://schemas.openxmlformats.org/officeDocument/2006/relationships/hyperlink" Target="http://www.nevo.co.il/case/7897103" TargetMode="External"/><Relationship Id="rId42" Type="http://schemas.openxmlformats.org/officeDocument/2006/relationships/hyperlink" Target="http://www.nevo.co.il/case/6173304" TargetMode="External"/><Relationship Id="rId43" Type="http://schemas.openxmlformats.org/officeDocument/2006/relationships/hyperlink" Target="http://www.nevo.co.il/case/18776712" TargetMode="External"/><Relationship Id="rId44" Type="http://schemas.openxmlformats.org/officeDocument/2006/relationships/hyperlink" Target="http://www.nevo.co.il/law/42435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d" TargetMode="External"/><Relationship Id="rId48" Type="http://schemas.openxmlformats.org/officeDocument/2006/relationships/hyperlink" Target="http://www.nevo.co.il/law/70301/40e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17954217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2017-05-15T06:51:00Z</dcterms:created>
  <dc:creator> </dc:creator>
  <dc:description/>
  <cp:keywords/>
  <dc:language>en-IL</dc:language>
  <cp:lastModifiedBy>orly</cp:lastModifiedBy>
  <dcterms:modified xsi:type="dcterms:W3CDTF">2017-05-15T06:51:00Z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אבראהים עאסלה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5573417;5568809;5585148;5753412;6113286;5831242;6032366;7776276;6864983;5506314;7897103;6173304;18776712;17954217</vt:lpwstr>
  </property>
  <property fmtid="{D5CDD505-2E9C-101B-9397-08002B2CF9AE}" pid="9" name="CITY">
    <vt:lpwstr>נצ'</vt:lpwstr>
  </property>
  <property fmtid="{D5CDD505-2E9C-101B-9397-08002B2CF9AE}" pid="10" name="DATE">
    <vt:lpwstr>20170424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יפעת שיטרית</vt:lpwstr>
  </property>
  <property fmtid="{D5CDD505-2E9C-101B-9397-08002B2CF9AE}" pid="14" name="LAWLISTTMP1">
    <vt:lpwstr>70301/040d;040e;047.e.5;275;332.2;40ja</vt:lpwstr>
  </property>
  <property fmtid="{D5CDD505-2E9C-101B-9397-08002B2CF9AE}" pid="15" name="LAWLISTTMP2">
    <vt:lpwstr>74274/047.e.5</vt:lpwstr>
  </property>
  <property fmtid="{D5CDD505-2E9C-101B-9397-08002B2CF9AE}" pid="16" name="LAWLISTTMP3">
    <vt:lpwstr>5227/062.2:2;068:2</vt:lpwstr>
  </property>
  <property fmtid="{D5CDD505-2E9C-101B-9397-08002B2CF9AE}" pid="17" name="LAWLISTTMP4">
    <vt:lpwstr>42435</vt:lpwstr>
  </property>
  <property fmtid="{D5CDD505-2E9C-101B-9397-08002B2CF9AE}" pid="18" name="LAWYER">
    <vt:lpwstr>עופר סבו;ליאורה חילו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26563</vt:lpwstr>
  </property>
  <property fmtid="{D5CDD505-2E9C-101B-9397-08002B2CF9AE}" pid="26" name="NEWPARTB">
    <vt:lpwstr>03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מתחם הענישה</vt:lpwstr>
  </property>
  <property fmtid="{D5CDD505-2E9C-101B-9397-08002B2CF9AE}" pid="52" name="NOSE310">
    <vt:lpwstr/>
  </property>
  <property fmtid="{D5CDD505-2E9C-101B-9397-08002B2CF9AE}" pid="53" name="NOSE32">
    <vt:lpwstr>מדיניות ענישה: מתחם הענישה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14985;15752</vt:lpwstr>
  </property>
  <property fmtid="{D5CDD505-2E9C-101B-9397-08002B2CF9AE}" pid="62" name="PADIDATE">
    <vt:lpwstr>20170515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390120170424</vt:lpwstr>
  </property>
  <property fmtid="{D5CDD505-2E9C-101B-9397-08002B2CF9AE}" pid="72" name="TYPE_N_DATE">
    <vt:lpwstr>39020170424</vt:lpwstr>
  </property>
  <property fmtid="{D5CDD505-2E9C-101B-9397-08002B2CF9AE}" pid="73" name="VOLUME">
    <vt:lpwstr/>
  </property>
  <property fmtid="{D5CDD505-2E9C-101B-9397-08002B2CF9AE}" pid="74" name="WORDNUMPAGES">
    <vt:lpwstr>22</vt:lpwstr>
  </property>
</Properties>
</file>