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2665-05-10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סיידה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השופט חנא סבאג –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סגן נשיא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מוסא סיידה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bookmarkStart w:id="2" w:name="FirstLawyer"/>
      <w:r>
        <w:rPr>
          <w:rtl w:val="true"/>
        </w:rPr>
        <w:t>מטעם</w:t>
      </w:r>
      <w:bookmarkEnd w:id="2"/>
      <w:r>
        <w:rPr>
          <w:rtl w:val="true"/>
        </w:rPr>
        <w:t xml:space="preserve"> 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גדי צפריר מפמ</w:t>
      </w:r>
      <w:r>
        <w:rPr>
          <w:rtl w:val="true"/>
        </w:rPr>
        <w:t>"</w:t>
      </w:r>
      <w:r>
        <w:rPr>
          <w:rtl w:val="true"/>
        </w:rPr>
        <w:t>צ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בעצמו ועל ידי עו</w:t>
      </w:r>
      <w:r>
        <w:rPr>
          <w:rtl w:val="true"/>
        </w:rPr>
        <w:t>"</w:t>
      </w:r>
      <w:r>
        <w:rPr>
          <w:rtl w:val="true"/>
        </w:rPr>
        <w:t>ד עומרי ראיד מהסנגוריה הציבורית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 xml:space="preserve"> </w:t>
      </w:r>
    </w:p>
    <w:p>
      <w:pPr>
        <w:pStyle w:val="david-p"/>
        <w:bidi w:val="1"/>
        <w:spacing w:lineRule="auto" w:line="360"/>
        <w:ind w:end="0"/>
        <w:jc w:val="center"/>
        <w:rPr>
          <w:rFonts w:ascii="Arial" w:hAnsi="Arial" w:eastAsia="David" w:cs="David"/>
          <w:b/>
          <w:bCs/>
          <w:sz w:val="28"/>
          <w:szCs w:val="28"/>
          <w:u w:val="none"/>
        </w:rPr>
      </w:pPr>
      <w:r>
        <w:rPr>
          <w:rFonts w:eastAsia="David" w:cs="David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david-p"/>
        <w:bidi w:val="1"/>
        <w:spacing w:lineRule="auto" w:line="360"/>
        <w:ind w:end="0"/>
        <w:jc w:val="center"/>
        <w:rPr>
          <w:rFonts w:ascii="Arial" w:hAnsi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eastAsia="David" w:cs="David"/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eastAsia="David" w:cs="David"/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ascii="David" w:hAnsi="David" w:cs="David"/>
          <w:sz w:val="24"/>
          <w:szCs w:val="24"/>
        </w:rPr>
      </w:pPr>
      <w:r>
        <w:rPr>
          <w:rFonts w:eastAsia="David" w:cs="David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bookmarkStart w:id="6" w:name="ABSTRACT_START"/>
      <w:bookmarkEnd w:id="6"/>
      <w:r>
        <w:rPr>
          <w:rStyle w:val="normal-h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הורשע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פי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הודאתו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בעבירה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החזקת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נשק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ואבזר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נשק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בניגוד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לסעיף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Cs w:val="24"/>
        </w:rPr>
        <w:t>144</w:t>
      </w:r>
      <w:r>
        <w:rPr>
          <w:rStyle w:val="normal-h"/>
          <w:rFonts w:cs="David"/>
          <w:sz w:val="24"/>
          <w:szCs w:val="24"/>
          <w:rtl w:val="true"/>
        </w:rPr>
        <w:t xml:space="preserve"> (</w:t>
      </w:r>
      <w:r>
        <w:rPr>
          <w:rStyle w:val="normal-h"/>
          <w:rFonts w:cs="David"/>
          <w:sz w:val="24"/>
          <w:sz w:val="24"/>
          <w:szCs w:val="24"/>
          <w:rtl w:val="true"/>
        </w:rPr>
        <w:t>א</w:t>
      </w:r>
      <w:r>
        <w:rPr>
          <w:rStyle w:val="normal-h"/>
          <w:rFonts w:cs="David"/>
          <w:sz w:val="24"/>
          <w:szCs w:val="24"/>
          <w:rtl w:val="true"/>
        </w:rPr>
        <w:t xml:space="preserve">) </w:t>
      </w:r>
      <w:r>
        <w:rPr>
          <w:rStyle w:val="normal-h"/>
          <w:rFonts w:cs="David"/>
          <w:sz w:val="24"/>
          <w:sz w:val="24"/>
          <w:szCs w:val="24"/>
          <w:rtl w:val="true"/>
        </w:rPr>
        <w:t>רישא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וסייפא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</w:t>
      </w:r>
      <w:hyperlink r:id="rId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Style w:val="normal-h"/>
          <w:rFonts w:cs="David"/>
          <w:sz w:val="24"/>
          <w:szCs w:val="24"/>
          <w:rtl w:val="true"/>
        </w:rPr>
        <w:t xml:space="preserve">. </w:t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Style w:val="normal-h"/>
          <w:rFonts w:cs="David"/>
          <w:sz w:val="24"/>
          <w:sz w:val="24"/>
          <w:szCs w:val="24"/>
          <w:rtl w:val="true"/>
        </w:rPr>
        <w:t>כעולה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מעובדות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כתב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האישום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בתאריך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Cs w:val="24"/>
        </w:rPr>
        <w:t>27.4.10</w:t>
      </w:r>
      <w:r>
        <w:rPr>
          <w:rStyle w:val="normal-h"/>
          <w:rFonts w:cs="David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החזיק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בדירתו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אקדח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בקוטר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Cs w:val="24"/>
        </w:rPr>
        <w:t>9</w:t>
      </w:r>
      <w:r>
        <w:rPr>
          <w:rStyle w:val="normal-h"/>
          <w:rFonts w:cs="David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</w:t>
      </w:r>
      <w:r>
        <w:rPr>
          <w:rStyle w:val="normal-h"/>
          <w:rFonts w:cs="David"/>
          <w:sz w:val="24"/>
          <w:szCs w:val="24"/>
          <w:rtl w:val="true"/>
        </w:rPr>
        <w:t>"</w:t>
      </w:r>
      <w:r>
        <w:rPr>
          <w:rStyle w:val="normal-h"/>
          <w:rFonts w:cs="David"/>
          <w:sz w:val="24"/>
          <w:sz w:val="24"/>
          <w:szCs w:val="24"/>
          <w:rtl w:val="true"/>
        </w:rPr>
        <w:t>מ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וכן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מחסנית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לאקדח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Style w:val="normal-h"/>
          <w:rFonts w:cs="David"/>
          <w:sz w:val="24"/>
          <w:sz w:val="24"/>
          <w:szCs w:val="24"/>
          <w:rtl w:val="true"/>
        </w:rPr>
        <w:t>המדינה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מבקשת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להטיל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עונש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מאסר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בפועל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שיהלום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נסיבות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המקרה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  <w:r>
        <w:rPr>
          <w:rStyle w:val="normal-h"/>
          <w:rFonts w:cs="David"/>
          <w:sz w:val="24"/>
          <w:sz w:val="24"/>
          <w:szCs w:val="24"/>
          <w:rtl w:val="true"/>
        </w:rPr>
        <w:t>מנגד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מבקשני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הסנגור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לתת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לנאשם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הזדמנות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נוספת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ואחרונה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לנקוט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במידת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הרחמים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ולהסתפק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בהטלת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עונש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מאסר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שירוצה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בעבודות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שירות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Style w:val="normal-h"/>
          <w:rFonts w:cs="David"/>
          <w:sz w:val="24"/>
          <w:sz w:val="24"/>
          <w:szCs w:val="24"/>
          <w:rtl w:val="true"/>
        </w:rPr>
        <w:t>שני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הצדדים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הגישו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פסיקה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כל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אחד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לפי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השקפתו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Style w:val="normal-h"/>
          <w:rFonts w:cs="David"/>
          <w:sz w:val="24"/>
          <w:sz w:val="24"/>
          <w:szCs w:val="24"/>
          <w:rtl w:val="true"/>
        </w:rPr>
        <w:t>לנאשם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Cs w:val="24"/>
        </w:rPr>
        <w:t>4</w:t>
      </w:r>
      <w:r>
        <w:rPr>
          <w:rStyle w:val="normal-h"/>
          <w:rFonts w:cs="David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הרשעות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קודמות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הכוללות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עבירות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סמים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אלימות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ועוד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Style w:val="normal-h"/>
          <w:rFonts w:cs="David"/>
          <w:sz w:val="24"/>
          <w:sz w:val="24"/>
          <w:szCs w:val="24"/>
          <w:rtl w:val="true"/>
        </w:rPr>
        <w:t>אין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חולק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כי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המדובר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בעבירה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חמורה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שבה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החליט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להחזיק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בנשק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מסוג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אקדח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ללא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רשיון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כדין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כלי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שהינו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מסוכן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לכל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הדעות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ומהווה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סכנה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לשלום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הציבור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Style w:val="normal-h"/>
          <w:rFonts w:cs="David"/>
          <w:sz w:val="24"/>
          <w:sz w:val="24"/>
          <w:szCs w:val="24"/>
          <w:rtl w:val="true"/>
        </w:rPr>
        <w:t>הסנגור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הפנה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לפסיקה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רבה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שבה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הוטלו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במקרים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דומים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ואף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חמורים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עונשים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מאסר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בעבודות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שירות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Style w:val="normal-h"/>
          <w:rFonts w:cs="David"/>
          <w:sz w:val="24"/>
          <w:sz w:val="24"/>
          <w:szCs w:val="24"/>
          <w:rtl w:val="true"/>
        </w:rPr>
        <w:t>חרף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זאת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ברור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ואין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כל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חולק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כי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הלכה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פסוקה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היא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כי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בעבירות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מהסוג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הזה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הכלל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הוא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מאסר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בפועל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מאחורי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סורג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ובריח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גם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כאשר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עברו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נקי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Style w:val="normal-h"/>
          <w:rFonts w:cs="David"/>
          <w:sz w:val="24"/>
          <w:sz w:val="24"/>
          <w:szCs w:val="24"/>
          <w:rtl w:val="true"/>
        </w:rPr>
        <w:t>הלכה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היא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אף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שיש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להעדיף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במקרים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אלו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האינטרס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הציבורי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פני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הנסיבות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האישיות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כל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נאשם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ונאשם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Style w:val="normal-h"/>
          <w:rFonts w:cs="David"/>
          <w:sz w:val="24"/>
          <w:sz w:val="24"/>
          <w:szCs w:val="24"/>
          <w:rtl w:val="true"/>
        </w:rPr>
        <w:t>שקלתי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עניינו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  <w:r>
        <w:rPr>
          <w:rStyle w:val="normal-h"/>
          <w:rFonts w:cs="David"/>
          <w:sz w:val="24"/>
          <w:sz w:val="24"/>
          <w:szCs w:val="24"/>
          <w:rtl w:val="true"/>
        </w:rPr>
        <w:t>ער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אני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לגילו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הצעיר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להודאה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ולחסכון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זמן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שיפוטי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שחסך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לחרטה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שהביע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וכן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לעובדה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ששהה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בתנאים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מגבילים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תקופה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ארוכה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  <w:r>
        <w:rPr>
          <w:rStyle w:val="normal-h"/>
          <w:rFonts w:cs="David"/>
          <w:sz w:val="24"/>
          <w:sz w:val="24"/>
          <w:szCs w:val="24"/>
          <w:rtl w:val="true"/>
        </w:rPr>
        <w:t>יחד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זאת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אין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להתעלם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מעברו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חומרת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המעשה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והאינטרס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הציבורי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המחייב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ענישה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מרתיעה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במקרה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כגון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דא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Style w:val="normal-h"/>
          <w:rFonts w:cs="David"/>
          <w:sz w:val="24"/>
          <w:sz w:val="24"/>
          <w:szCs w:val="24"/>
          <w:rtl w:val="true"/>
        </w:rPr>
        <w:t>אמנם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אודות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הוגשה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חוות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דעת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הממונה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עבודות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שירות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  <w:r>
        <w:rPr>
          <w:rStyle w:val="normal-h"/>
          <w:rFonts w:cs="David"/>
          <w:sz w:val="24"/>
          <w:sz w:val="24"/>
          <w:szCs w:val="24"/>
          <w:rtl w:val="true"/>
        </w:rPr>
        <w:t>אך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אין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בכך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כדי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לכבול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ידיו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בית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המשפט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מאחר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וחוות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דעת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זו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הוגשה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לבקשת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הסנגור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כאשר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בית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המשפט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הודיע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במפורש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שאין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בכך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כדי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הבעת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עמדה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לעניין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העונש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או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יצירה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צפיות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כלשהן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אצל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</w:t>
      </w:r>
      <w:r>
        <w:rPr>
          <w:rStyle w:val="normal-h"/>
          <w:rFonts w:cs="David"/>
          <w:sz w:val="24"/>
          <w:sz w:val="24"/>
          <w:szCs w:val="24"/>
          <w:rtl w:val="true"/>
        </w:rPr>
        <w:t>נאשם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Style w:val="normal-h"/>
          <w:rFonts w:cs="David"/>
          <w:sz w:val="24"/>
          <w:sz w:val="24"/>
          <w:szCs w:val="24"/>
          <w:rtl w:val="true"/>
        </w:rPr>
        <w:t>עונש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מאסר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בעבודות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שירות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במקרה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זה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יחטיא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המטרה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ואין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בו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כדי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לשדר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מסר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ברור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שמי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שמחזיק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נשק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צפוי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לעונש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מאסר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מאחורי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סורג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ובריח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Style w:val="normal-h"/>
          <w:rFonts w:cs="David"/>
          <w:sz w:val="24"/>
          <w:sz w:val="24"/>
          <w:szCs w:val="24"/>
          <w:rtl w:val="true"/>
        </w:rPr>
        <w:t>אשר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כן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ולאחר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ששקלתי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מכלול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נסיבות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העניין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ועיינתי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בפסיקה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הרבה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שהוגשה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ידי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שני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הצדדים</w:t>
      </w:r>
      <w:r>
        <w:rPr>
          <w:rStyle w:val="normal-h"/>
          <w:rFonts w:cs="David"/>
          <w:sz w:val="24"/>
          <w:szCs w:val="24"/>
          <w:rtl w:val="true"/>
        </w:rPr>
        <w:t xml:space="preserve">,  </w:t>
      </w:r>
      <w:r>
        <w:rPr>
          <w:rStyle w:val="normal-h"/>
          <w:rFonts w:cs="David"/>
          <w:sz w:val="24"/>
          <w:sz w:val="24"/>
          <w:szCs w:val="24"/>
          <w:rtl w:val="true"/>
        </w:rPr>
        <w:t>אני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דן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לעונשים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הבאים</w:t>
      </w:r>
      <w:r>
        <w:rPr>
          <w:rStyle w:val="normal-h"/>
          <w:rFonts w:cs="David"/>
          <w:sz w:val="24"/>
          <w:szCs w:val="24"/>
          <w:rtl w:val="true"/>
        </w:rPr>
        <w:t>:</w:t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Style w:val="normal-h"/>
          <w:rFonts w:cs="David"/>
          <w:sz w:val="24"/>
          <w:szCs w:val="24"/>
          <w:rtl w:val="true"/>
        </w:rPr>
        <w:t> </w:t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Style w:val="normal-h"/>
          <w:rFonts w:cs="David"/>
          <w:sz w:val="24"/>
          <w:sz w:val="24"/>
          <w:szCs w:val="24"/>
          <w:rtl w:val="true"/>
        </w:rPr>
        <w:t>אני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מטיל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קנס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בסך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של</w:t>
      </w:r>
      <w:r>
        <w:rPr>
          <w:rStyle w:val="normal-h"/>
          <w:sz w:val="24"/>
          <w:sz w:val="24"/>
          <w:szCs w:val="24"/>
          <w:rtl w:val="true"/>
        </w:rPr>
        <w:t xml:space="preserve">  </w:t>
      </w:r>
      <w:r>
        <w:rPr>
          <w:rStyle w:val="normal-h"/>
          <w:rFonts w:cs="David"/>
          <w:sz w:val="24"/>
          <w:szCs w:val="24"/>
        </w:rPr>
        <w:t>2,000</w:t>
      </w:r>
      <w:r>
        <w:rPr>
          <w:rStyle w:val="normal-h"/>
          <w:rFonts w:cs="David"/>
          <w:sz w:val="24"/>
          <w:szCs w:val="24"/>
          <w:rtl w:val="true"/>
        </w:rPr>
        <w:t xml:space="preserve">  </w:t>
      </w:r>
      <w:r>
        <w:rPr>
          <w:rStyle w:val="normal-h"/>
          <w:rFonts w:eastAsia="David" w:cs="David" w:ascii="David" w:hAnsi="David"/>
          <w:sz w:val="24"/>
          <w:szCs w:val="24"/>
          <w:rtl w:val="true"/>
        </w:rPr>
        <w:t>₪</w:t>
      </w:r>
      <w:r>
        <w:rPr>
          <w:rStyle w:val="normal-h"/>
          <w:rFonts w:cs="David"/>
          <w:sz w:val="24"/>
          <w:szCs w:val="24"/>
          <w:rtl w:val="true"/>
        </w:rPr>
        <w:t xml:space="preserve">  </w:t>
      </w:r>
      <w:r>
        <w:rPr>
          <w:rStyle w:val="normal-h"/>
          <w:rFonts w:cs="David"/>
          <w:sz w:val="24"/>
          <w:sz w:val="24"/>
          <w:szCs w:val="24"/>
          <w:rtl w:val="true"/>
        </w:rPr>
        <w:t>או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Cs w:val="24"/>
        </w:rPr>
        <w:t>20</w:t>
      </w:r>
      <w:r>
        <w:rPr>
          <w:rStyle w:val="normal-h"/>
          <w:rFonts w:cs="David"/>
          <w:sz w:val="24"/>
          <w:szCs w:val="24"/>
          <w:rtl w:val="true"/>
        </w:rPr>
        <w:t xml:space="preserve">   </w:t>
      </w:r>
      <w:r>
        <w:rPr>
          <w:rStyle w:val="normal-h"/>
          <w:rFonts w:cs="David"/>
          <w:sz w:val="24"/>
          <w:sz w:val="24"/>
          <w:szCs w:val="24"/>
          <w:rtl w:val="true"/>
        </w:rPr>
        <w:t>ימי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מאסר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תמורתו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Style w:val="normal-h"/>
          <w:rFonts w:cs="David"/>
          <w:sz w:val="24"/>
          <w:sz w:val="24"/>
          <w:szCs w:val="24"/>
          <w:rtl w:val="true"/>
        </w:rPr>
        <w:t>הקנס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יקוזז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מסכום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הפקדון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סך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Cs w:val="24"/>
        </w:rPr>
        <w:t>8,000</w:t>
      </w:r>
      <w:r>
        <w:rPr>
          <w:rStyle w:val="normal-h"/>
          <w:rFonts w:cs="David"/>
          <w:sz w:val="24"/>
          <w:szCs w:val="24"/>
          <w:rtl w:val="true"/>
        </w:rPr>
        <w:t xml:space="preserve"> </w:t>
      </w:r>
      <w:r>
        <w:rPr>
          <w:rStyle w:val="normal-h"/>
          <w:rFonts w:eastAsia="David" w:cs="David" w:ascii="David" w:hAnsi="David"/>
          <w:sz w:val="24"/>
          <w:szCs w:val="24"/>
          <w:rtl w:val="true"/>
        </w:rPr>
        <w:t>₪</w:t>
      </w:r>
      <w:r>
        <w:rPr>
          <w:rStyle w:val="normal-h"/>
          <w:rFonts w:cs="David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שהופקד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במסגרת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תנאי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השחרור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</w:t>
      </w:r>
      <w:hyperlink r:id="rId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2732-05-10</w:t>
        </w:r>
      </w:hyperlink>
      <w:r>
        <w:rPr>
          <w:rStyle w:val="normal-h"/>
          <w:rFonts w:cs="David"/>
          <w:sz w:val="24"/>
          <w:szCs w:val="24"/>
          <w:rtl w:val="true"/>
        </w:rPr>
        <w:t xml:space="preserve">. </w:t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Style w:val="normal-h"/>
          <w:rFonts w:cs="David"/>
          <w:sz w:val="24"/>
          <w:szCs w:val="24"/>
          <w:rtl w:val="true"/>
        </w:rPr>
        <w:t> </w:t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Style w:val="normal-h"/>
          <w:rFonts w:cs="David"/>
          <w:sz w:val="24"/>
          <w:sz w:val="24"/>
          <w:szCs w:val="24"/>
          <w:rtl w:val="true"/>
        </w:rPr>
        <w:t>אני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מטיל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מאסר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תנאי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של</w:t>
      </w:r>
      <w:r>
        <w:rPr>
          <w:rStyle w:val="normal-h"/>
          <w:sz w:val="24"/>
          <w:sz w:val="24"/>
          <w:szCs w:val="24"/>
          <w:rtl w:val="true"/>
        </w:rPr>
        <w:t xml:space="preserve">  </w:t>
      </w:r>
      <w:r>
        <w:rPr>
          <w:rStyle w:val="normal-h"/>
          <w:rFonts w:cs="David"/>
          <w:sz w:val="24"/>
          <w:szCs w:val="24"/>
        </w:rPr>
        <w:t>8</w:t>
      </w:r>
      <w:r>
        <w:rPr>
          <w:rStyle w:val="normal-h"/>
          <w:rFonts w:cs="David"/>
          <w:sz w:val="24"/>
          <w:szCs w:val="24"/>
          <w:rtl w:val="true"/>
        </w:rPr>
        <w:t xml:space="preserve">  </w:t>
      </w:r>
      <w:r>
        <w:rPr>
          <w:rStyle w:val="normal-h"/>
          <w:rFonts w:cs="David"/>
          <w:sz w:val="24"/>
          <w:sz w:val="24"/>
          <w:szCs w:val="24"/>
          <w:rtl w:val="true"/>
        </w:rPr>
        <w:t>חודשים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למשך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Cs w:val="24"/>
        </w:rPr>
        <w:t>3</w:t>
      </w:r>
      <w:r>
        <w:rPr>
          <w:rStyle w:val="normal-h"/>
          <w:rFonts w:cs="David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שנים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שלא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יעבור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העבירה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בה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הורשע</w:t>
      </w:r>
      <w:r>
        <w:rPr>
          <w:rStyle w:val="normal-h"/>
          <w:rFonts w:cs="David"/>
          <w:sz w:val="24"/>
          <w:szCs w:val="24"/>
          <w:rtl w:val="true"/>
        </w:rPr>
        <w:t>.</w:t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Style w:val="normal-h"/>
          <w:rFonts w:cs="David"/>
          <w:sz w:val="24"/>
          <w:szCs w:val="24"/>
          <w:rtl w:val="true"/>
        </w:rPr>
        <w:t> </w:t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Style w:val="normal-h"/>
          <w:rFonts w:cs="David"/>
          <w:sz w:val="24"/>
          <w:sz w:val="24"/>
          <w:szCs w:val="24"/>
          <w:rtl w:val="true"/>
        </w:rPr>
        <w:t>אני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מטיל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על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מאסר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בפועל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של</w:t>
      </w:r>
      <w:r>
        <w:rPr>
          <w:rStyle w:val="normal-h"/>
          <w:sz w:val="24"/>
          <w:sz w:val="24"/>
          <w:szCs w:val="24"/>
          <w:rtl w:val="true"/>
        </w:rPr>
        <w:t xml:space="preserve">  </w:t>
      </w:r>
      <w:r>
        <w:rPr>
          <w:rStyle w:val="normal-h"/>
          <w:rFonts w:cs="David"/>
          <w:sz w:val="24"/>
          <w:szCs w:val="24"/>
        </w:rPr>
        <w:t>8</w:t>
      </w:r>
      <w:r>
        <w:rPr>
          <w:rStyle w:val="normal-h"/>
          <w:rFonts w:cs="David"/>
          <w:sz w:val="24"/>
          <w:szCs w:val="24"/>
          <w:rtl w:val="true"/>
        </w:rPr>
        <w:t xml:space="preserve">  </w:t>
      </w:r>
      <w:r>
        <w:rPr>
          <w:rStyle w:val="normal-h"/>
          <w:rFonts w:cs="David"/>
          <w:sz w:val="24"/>
          <w:sz w:val="24"/>
          <w:szCs w:val="24"/>
          <w:rtl w:val="true"/>
        </w:rPr>
        <w:t>חודשים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בניכוי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ימי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מעצרו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בין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התאריכים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Cs w:val="24"/>
        </w:rPr>
        <w:t>27.4.10</w:t>
      </w:r>
      <w:r>
        <w:rPr>
          <w:rStyle w:val="normal-h"/>
          <w:rFonts w:cs="David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ועד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Cs w:val="24"/>
        </w:rPr>
        <w:t>5.5.10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 </w:t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Style w:val="normal-h"/>
          <w:rFonts w:cs="David"/>
          <w:sz w:val="24"/>
          <w:szCs w:val="24"/>
          <w:rtl w:val="true"/>
        </w:rPr>
        <w:t> </w:t>
      </w:r>
      <w:r>
        <w:rPr>
          <w:rStyle w:val="normal-h"/>
          <w:rFonts w:cs="David"/>
          <w:sz w:val="24"/>
          <w:sz w:val="24"/>
          <w:szCs w:val="24"/>
          <w:rtl w:val="true"/>
        </w:rPr>
        <w:t>המוצגים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שהינם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אקדח</w:t>
      </w:r>
      <w:r>
        <w:rPr>
          <w:rStyle w:val="normal-h"/>
          <w:rFonts w:cs="David"/>
          <w:sz w:val="24"/>
          <w:szCs w:val="24"/>
          <w:rtl w:val="true"/>
        </w:rPr>
        <w:t xml:space="preserve">, </w:t>
      </w:r>
      <w:r>
        <w:rPr>
          <w:rStyle w:val="normal-h"/>
          <w:rFonts w:cs="David"/>
          <w:sz w:val="24"/>
          <w:sz w:val="24"/>
          <w:szCs w:val="24"/>
          <w:rtl w:val="true"/>
        </w:rPr>
        <w:t>מחסנית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וסמים</w:t>
      </w:r>
      <w:r>
        <w:rPr>
          <w:rStyle w:val="normal-h"/>
          <w:sz w:val="24"/>
          <w:sz w:val="24"/>
          <w:szCs w:val="24"/>
          <w:rtl w:val="true"/>
        </w:rPr>
        <w:t xml:space="preserve">    </w:t>
      </w:r>
      <w:r>
        <w:rPr>
          <w:rStyle w:val="normal-h"/>
          <w:rFonts w:cs="David"/>
          <w:sz w:val="24"/>
          <w:sz w:val="24"/>
          <w:szCs w:val="24"/>
          <w:rtl w:val="true"/>
        </w:rPr>
        <w:t>–</w:t>
      </w:r>
      <w:r>
        <w:rPr>
          <w:rStyle w:val="normal-h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/>
          <w:sz w:val="24"/>
          <w:sz w:val="24"/>
          <w:szCs w:val="24"/>
          <w:rtl w:val="true"/>
        </w:rPr>
        <w:t>להשמדה</w:t>
      </w:r>
      <w:r>
        <w:rPr>
          <w:rStyle w:val="normal-h"/>
          <w:rFonts w:cs="David"/>
          <w:sz w:val="24"/>
          <w:szCs w:val="24"/>
          <w:rtl w:val="true"/>
        </w:rPr>
        <w:t xml:space="preserve">. </w:t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b/>
          <w:bCs/>
          <w:sz w:val="24"/>
          <w:szCs w:val="24"/>
          <w:u w:val="single"/>
        </w:rPr>
      </w:pPr>
      <w:r>
        <w:rPr>
          <w:rStyle w:val="normal-h"/>
          <w:rFonts w:cs="David"/>
          <w:b/>
          <w:b/>
          <w:bCs/>
          <w:sz w:val="24"/>
          <w:sz w:val="24"/>
          <w:szCs w:val="24"/>
          <w:u w:val="single"/>
          <w:rtl w:val="true"/>
        </w:rPr>
        <w:t>זכות</w:t>
      </w:r>
      <w:r>
        <w:rPr>
          <w:rStyle w:val="normal-h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4"/>
          <w:sz w:val="24"/>
          <w:szCs w:val="24"/>
          <w:u w:val="single"/>
          <w:rtl w:val="true"/>
        </w:rPr>
        <w:t>ערעור</w:t>
      </w:r>
      <w:r>
        <w:rPr>
          <w:rStyle w:val="normal-h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4"/>
          <w:sz w:val="24"/>
          <w:szCs w:val="24"/>
          <w:u w:val="single"/>
          <w:rtl w:val="true"/>
        </w:rPr>
        <w:t>בבית</w:t>
      </w:r>
      <w:r>
        <w:rPr>
          <w:rStyle w:val="normal-h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4"/>
          <w:sz w:val="24"/>
          <w:szCs w:val="24"/>
          <w:u w:val="single"/>
          <w:rtl w:val="true"/>
        </w:rPr>
        <w:t>המשפט</w:t>
      </w:r>
      <w:r>
        <w:rPr>
          <w:rStyle w:val="normal-h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4"/>
          <w:sz w:val="24"/>
          <w:szCs w:val="24"/>
          <w:u w:val="single"/>
          <w:rtl w:val="true"/>
        </w:rPr>
        <w:t>המחוזי</w:t>
      </w:r>
      <w:r>
        <w:rPr>
          <w:rStyle w:val="normal-h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4"/>
          <w:sz w:val="24"/>
          <w:szCs w:val="24"/>
          <w:u w:val="single"/>
          <w:rtl w:val="true"/>
        </w:rPr>
        <w:t>בנצרת</w:t>
      </w:r>
      <w:r>
        <w:rPr>
          <w:rStyle w:val="normal-h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4"/>
          <w:sz w:val="24"/>
          <w:szCs w:val="24"/>
          <w:u w:val="single"/>
          <w:rtl w:val="true"/>
        </w:rPr>
        <w:t>תוך</w:t>
      </w:r>
      <w:r>
        <w:rPr>
          <w:rStyle w:val="normal-h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normal-h"/>
          <w:rFonts w:cs="David"/>
          <w:b/>
          <w:bCs/>
          <w:sz w:val="24"/>
          <w:szCs w:val="24"/>
          <w:u w:val="single"/>
        </w:rPr>
        <w:t>45</w:t>
      </w:r>
      <w:r>
        <w:rPr>
          <w:rStyle w:val="normal-h"/>
          <w:rFonts w:cs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4"/>
          <w:sz w:val="24"/>
          <w:szCs w:val="24"/>
          <w:u w:val="single"/>
          <w:rtl w:val="true"/>
        </w:rPr>
        <w:t>יום</w:t>
      </w:r>
      <w:r>
        <w:rPr>
          <w:rStyle w:val="normal-h"/>
          <w:rFonts w:cs="David"/>
          <w:b/>
          <w:bCs/>
          <w:sz w:val="24"/>
          <w:szCs w:val="24"/>
          <w:u w:val="single"/>
          <w:rtl w:val="true"/>
        </w:rPr>
        <w:t xml:space="preserve">. </w:t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b/>
          <w:bCs/>
          <w:sz w:val="24"/>
          <w:szCs w:val="24"/>
          <w:u w:val="single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>
          <w:rStyle w:val="normal-h"/>
          <w:rFonts w:cs="David"/>
          <w:b/>
          <w:bCs/>
          <w:sz w:val="6"/>
          <w:szCs w:val="6"/>
        </w:rPr>
      </w:pPr>
      <w:r>
        <w:rPr>
          <w:rStyle w:val="normal-h"/>
          <w:rFonts w:cs="David"/>
          <w:b/>
          <w:bCs/>
          <w:sz w:val="6"/>
          <w:szCs w:val="6"/>
          <w:rtl w:val="true"/>
        </w:rPr>
        <w:t>&lt;</w:t>
      </w:r>
      <w:r>
        <w:rPr>
          <w:rStyle w:val="normal-h"/>
          <w:rFonts w:cs="David"/>
          <w:b/>
          <w:bCs/>
          <w:sz w:val="6"/>
          <w:szCs w:val="6"/>
        </w:rPr>
        <w:t>#4#</w:t>
      </w:r>
      <w:r>
        <w:rPr>
          <w:rStyle w:val="normal-h"/>
          <w:rFonts w:cs="David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Style w:val="normal-h"/>
          <w:rFonts w:cs="David"/>
          <w:b/>
          <w:bCs/>
          <w:sz w:val="6"/>
          <w:szCs w:val="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  אדר ב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31/03/2011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חנא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סבאג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david-p"/>
        <w:bidi w:val="1"/>
        <w:spacing w:lineRule="auto" w:line="360"/>
        <w:ind w:end="0"/>
        <w:jc w:val="center"/>
        <w:rPr>
          <w:rStyle w:val="normal-h"/>
          <w:rFonts w:ascii="David" w:hAnsi="David" w:cs="David"/>
          <w:b/>
          <w:bCs/>
          <w:sz w:val="24"/>
          <w:szCs w:val="24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בהתאם למוסכם אני מורה על עיכוב ביצוע עונש המאסר עד ליום </w:t>
      </w:r>
      <w:r>
        <w:rPr/>
        <w:t>14.4.11</w:t>
      </w:r>
      <w:r>
        <w:rPr>
          <w:rtl w:val="true"/>
        </w:rPr>
        <w:t xml:space="preserve"> </w:t>
      </w:r>
      <w:r>
        <w:rPr>
          <w:rtl w:val="true"/>
        </w:rPr>
        <w:t xml:space="preserve">שעה </w:t>
      </w:r>
      <w:r>
        <w:rPr/>
        <w:t>10.00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בתאריך זה</w:t>
      </w:r>
      <w:r>
        <w:rPr>
          <w:rtl w:val="true"/>
        </w:rPr>
        <w:t xml:space="preserve">, </w:t>
      </w:r>
      <w:r>
        <w:rPr>
          <w:rtl w:val="true"/>
        </w:rPr>
        <w:t xml:space="preserve">ועד השעה  </w:t>
      </w:r>
      <w:r>
        <w:rPr/>
        <w:t>10.00</w:t>
      </w:r>
      <w:r>
        <w:rPr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, </w:t>
      </w:r>
      <w:r>
        <w:rPr>
          <w:rtl w:val="true"/>
        </w:rPr>
        <w:t>יתייצב הנאשם במזכירות בית משפט השלום בנצרת לתחילת ריצוי מאסרו</w:t>
      </w:r>
      <w:r>
        <w:rPr>
          <w:rtl w:val="true"/>
        </w:rPr>
        <w:t xml:space="preserve">, </w:t>
      </w:r>
      <w:r>
        <w:rPr>
          <w:rtl w:val="true"/>
        </w:rPr>
        <w:t>כל עוד לא ניתנה החלטה אחרת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תנאי השחרור בהם שוהה הנאשם עד כה</w:t>
      </w:r>
      <w:r>
        <w:rPr>
          <w:rtl w:val="true"/>
        </w:rPr>
        <w:t xml:space="preserve">, </w:t>
      </w:r>
      <w:r>
        <w:rPr>
          <w:rtl w:val="true"/>
        </w:rPr>
        <w:t>יוותרו בעינם עד החלטה אחרת או תחילת ריצוי המאסר</w:t>
      </w:r>
      <w:r>
        <w:rPr>
          <w:rtl w:val="true"/>
        </w:rPr>
        <w:t xml:space="preserve">, </w:t>
      </w:r>
      <w:r>
        <w:rPr>
          <w:rtl w:val="true"/>
        </w:rPr>
        <w:t>הכל לפי המוקדם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  אדר ב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31/03/2011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חנא סבאג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חנא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סבאג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2665-05-10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מוסא סיידה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-p">
    <w:name w:val="david-p"/>
    <w:basedOn w:val="Normal"/>
    <w:qFormat/>
    <w:pPr>
      <w:bidi w:val="0"/>
      <w:jc w:val="both"/>
    </w:pPr>
    <w:rPr>
      <w:rFonts w:ascii="Times New Roman" w:hAnsi="Times New Roman" w:eastAsia="Times New Roman"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NEWPROC=&#1502;&#1514;&amp;NEWPARTA=10&amp;NEWPARTB=05&amp;NEWPARTC=2732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2011-04-07T11:45:00Z</dcterms:created>
  <dc:creator> </dc:creator>
  <dc:description/>
  <cp:keywords/>
  <dc:language>en-IL</dc:language>
  <cp:lastModifiedBy>hofit</cp:lastModifiedBy>
  <dcterms:modified xsi:type="dcterms:W3CDTF">2011-04-07T11:45:00Z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מוסא סיידה</vt:lpwstr>
  </property>
  <property fmtid="{D5CDD505-2E9C-101B-9397-08002B2CF9AE}" pid="4" name="CITY">
    <vt:lpwstr>נצ'</vt:lpwstr>
  </property>
  <property fmtid="{D5CDD505-2E9C-101B-9397-08002B2CF9AE}" pid="5" name="DATE">
    <vt:lpwstr>20110331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חנא סבאג</vt:lpwstr>
  </property>
  <property fmtid="{D5CDD505-2E9C-101B-9397-08002B2CF9AE}" pid="9" name="LAWYER">
    <vt:lpwstr>גדי צפריר 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2665</vt:lpwstr>
  </property>
  <property fmtid="{D5CDD505-2E9C-101B-9397-08002B2CF9AE}" pid="23" name="NEWPARTB">
    <vt:lpwstr>05</vt:lpwstr>
  </property>
  <property fmtid="{D5CDD505-2E9C-101B-9397-08002B2CF9AE}" pid="24" name="NEWPARTC">
    <vt:lpwstr>10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RemarkFileName">
    <vt:lpwstr>shalom sh 10 05 2665 944 htm</vt:lpwstr>
  </property>
  <property fmtid="{D5CDD505-2E9C-101B-9397-08002B2CF9AE}" pid="34" name="TYPE">
    <vt:lpwstr>3</vt:lpwstr>
  </property>
  <property fmtid="{D5CDD505-2E9C-101B-9397-08002B2CF9AE}" pid="35" name="TYPE_ABS_DATE">
    <vt:lpwstr>380020110331</vt:lpwstr>
  </property>
  <property fmtid="{D5CDD505-2E9C-101B-9397-08002B2CF9AE}" pid="36" name="TYPE_N_DATE">
    <vt:lpwstr>38020110331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