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סוג_מסמך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26763-07-11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אסדי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222" w:type="dxa"/>
        <w:jc w:val="start"/>
        <w:tblInd w:w="44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993"/>
        <w:gridCol w:w="5043"/>
        <w:gridCol w:w="2186"/>
      </w:tblGrid>
      <w:tr>
        <w:trPr/>
        <w:tc>
          <w:tcPr>
            <w:tcW w:w="6036" w:type="dxa"/>
            <w:gridSpan w:val="2"/>
            <w:tcBorders/>
          </w:tcPr>
          <w:p>
            <w:pPr>
              <w:pStyle w:val="Style13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rFonts w:cs="Times New Roman"/>
                <w:b w:val="false"/>
                <w:bCs w:val="false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בפני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כב</w:t>
            </w:r>
            <w:r>
              <w:rPr>
                <w:sz w:val="26"/>
                <w:szCs w:val="28"/>
                <w:rtl w:val="true"/>
              </w:rPr>
              <w:t xml:space="preserve">' </w:t>
            </w:r>
            <w:r>
              <w:rPr>
                <w:sz w:val="26"/>
                <w:sz w:val="26"/>
                <w:szCs w:val="28"/>
                <w:rtl w:val="true"/>
              </w:rPr>
              <w:t>השופט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מ</w:t>
            </w:r>
            <w:r>
              <w:rPr>
                <w:sz w:val="26"/>
                <w:szCs w:val="28"/>
                <w:rtl w:val="true"/>
              </w:rPr>
              <w:t xml:space="preserve">' </w:t>
            </w:r>
            <w:r>
              <w:rPr>
                <w:sz w:val="26"/>
                <w:sz w:val="26"/>
                <w:szCs w:val="28"/>
                <w:rtl w:val="true"/>
              </w:rPr>
              <w:t>גלעד</w:t>
            </w:r>
          </w:p>
        </w:tc>
        <w:tc>
          <w:tcPr>
            <w:tcW w:w="2186" w:type="dxa"/>
            <w:tcBorders/>
          </w:tcPr>
          <w:p>
            <w:pPr>
              <w:pStyle w:val="Style13"/>
              <w:snapToGrid w:val="false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3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bookmarkStart w:id="2" w:name="FirstLawyer"/>
            <w:bookmarkStart w:id="3" w:name="FirstAppellant"/>
            <w:bookmarkStart w:id="4" w:name="שם_א"/>
            <w:bookmarkEnd w:id="2"/>
            <w:bookmarkEnd w:id="3"/>
            <w:bookmarkEnd w:id="4"/>
            <w:r>
              <w:rPr>
                <w:sz w:val="26"/>
                <w:sz w:val="26"/>
                <w:szCs w:val="28"/>
                <w:rtl w:val="true"/>
              </w:rPr>
              <w:t>בעניין</w:t>
            </w:r>
            <w:r>
              <w:rPr>
                <w:sz w:val="26"/>
                <w:szCs w:val="28"/>
                <w:rtl w:val="true"/>
              </w:rPr>
              <w:t>:</w:t>
            </w:r>
          </w:p>
        </w:tc>
        <w:tc>
          <w:tcPr>
            <w:tcW w:w="5043" w:type="dxa"/>
            <w:tcBorders/>
          </w:tcPr>
          <w:p>
            <w:pPr>
              <w:pStyle w:val="Style13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ישראל</w:t>
            </w:r>
          </w:p>
          <w:p>
            <w:pPr>
              <w:pStyle w:val="Style13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פמ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ח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ע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ב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עו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גב</w:t>
            </w:r>
            <w:r>
              <w:rPr>
                <w:sz w:val="26"/>
                <w:szCs w:val="28"/>
                <w:rtl w:val="true"/>
              </w:rPr>
              <w:t xml:space="preserve">' </w:t>
            </w:r>
            <w:r>
              <w:rPr>
                <w:sz w:val="26"/>
                <w:sz w:val="26"/>
                <w:szCs w:val="28"/>
                <w:rtl w:val="true"/>
              </w:rPr>
              <w:t>מ</w:t>
            </w:r>
            <w:r>
              <w:rPr>
                <w:sz w:val="26"/>
                <w:szCs w:val="28"/>
                <w:rtl w:val="true"/>
              </w:rPr>
              <w:t xml:space="preserve">. </w:t>
            </w:r>
            <w:r>
              <w:rPr>
                <w:sz w:val="26"/>
                <w:sz w:val="26"/>
                <w:szCs w:val="28"/>
                <w:rtl w:val="true"/>
              </w:rPr>
              <w:t>חזן</w:t>
            </w:r>
            <w:r>
              <w:rPr>
                <w:sz w:val="26"/>
                <w:szCs w:val="28"/>
                <w:rtl w:val="true"/>
              </w:rPr>
              <w:t>-</w:t>
            </w:r>
            <w:r>
              <w:rPr>
                <w:sz w:val="26"/>
                <w:sz w:val="26"/>
                <w:szCs w:val="28"/>
                <w:rtl w:val="true"/>
              </w:rPr>
              <w:t>דהן</w:t>
            </w:r>
            <w:r>
              <w:rPr>
                <w:sz w:val="26"/>
                <w:szCs w:val="28"/>
                <w:rtl w:val="true"/>
              </w:rPr>
              <w:t>'</w:t>
            </w:r>
          </w:p>
        </w:tc>
        <w:tc>
          <w:tcPr>
            <w:tcW w:w="2186" w:type="dxa"/>
            <w:tcBorders/>
          </w:tcPr>
          <w:p>
            <w:pPr>
              <w:pStyle w:val="Style13"/>
              <w:snapToGrid w:val="false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  <w:p>
            <w:pPr>
              <w:pStyle w:val="Style13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3"/>
              <w:snapToGrid w:val="false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  <w:tc>
          <w:tcPr>
            <w:tcW w:w="5043" w:type="dxa"/>
            <w:tcBorders/>
          </w:tcPr>
          <w:p>
            <w:pPr>
              <w:pStyle w:val="Style13"/>
              <w:spacing w:lineRule="auto" w:line="480"/>
              <w:ind w:end="0"/>
              <w:jc w:val="center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נ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 </w:t>
            </w:r>
            <w:r>
              <w:rPr>
                <w:sz w:val="26"/>
                <w:sz w:val="26"/>
                <w:szCs w:val="28"/>
                <w:rtl w:val="true"/>
              </w:rPr>
              <w:t>ג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 </w:t>
            </w:r>
            <w:r>
              <w:rPr>
                <w:sz w:val="26"/>
                <w:sz w:val="26"/>
                <w:szCs w:val="28"/>
                <w:rtl w:val="true"/>
              </w:rPr>
              <w:t>ד</w:t>
            </w:r>
          </w:p>
        </w:tc>
        <w:tc>
          <w:tcPr>
            <w:tcW w:w="2186" w:type="dxa"/>
            <w:tcBorders/>
          </w:tcPr>
          <w:p>
            <w:pPr>
              <w:pStyle w:val="Style13"/>
              <w:snapToGrid w:val="false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</w:tc>
      </w:tr>
      <w:tr>
        <w:trPr/>
        <w:tc>
          <w:tcPr>
            <w:tcW w:w="993" w:type="dxa"/>
            <w:tcBorders/>
          </w:tcPr>
          <w:p>
            <w:pPr>
              <w:pStyle w:val="Style13"/>
              <w:snapToGrid w:val="false"/>
              <w:spacing w:lineRule="auto" w:line="480"/>
              <w:ind w:end="121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5043" w:type="dxa"/>
            <w:tcBorders/>
          </w:tcPr>
          <w:p>
            <w:pPr>
              <w:pStyle w:val="Style13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קאסם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אסדי</w:t>
            </w:r>
          </w:p>
          <w:p>
            <w:pPr>
              <w:pStyle w:val="Style13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ע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ב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עו</w:t>
            </w:r>
            <w:r>
              <w:rPr>
                <w:sz w:val="26"/>
                <w:szCs w:val="28"/>
                <w:rtl w:val="true"/>
              </w:rPr>
              <w:t>"</w:t>
            </w:r>
            <w:r>
              <w:rPr>
                <w:sz w:val="26"/>
                <w:sz w:val="26"/>
                <w:szCs w:val="28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8"/>
                <w:rtl w:val="true"/>
              </w:rPr>
              <w:t xml:space="preserve"> </w:t>
            </w:r>
            <w:r>
              <w:rPr>
                <w:sz w:val="26"/>
                <w:sz w:val="26"/>
                <w:szCs w:val="28"/>
                <w:rtl w:val="true"/>
              </w:rPr>
              <w:t>ע</w:t>
            </w:r>
            <w:r>
              <w:rPr>
                <w:sz w:val="26"/>
                <w:szCs w:val="28"/>
                <w:rtl w:val="true"/>
              </w:rPr>
              <w:t xml:space="preserve">. </w:t>
            </w:r>
            <w:r>
              <w:rPr>
                <w:sz w:val="26"/>
                <w:sz w:val="26"/>
                <w:szCs w:val="28"/>
                <w:rtl w:val="true"/>
              </w:rPr>
              <w:t>סנאללה</w:t>
            </w:r>
          </w:p>
        </w:tc>
        <w:tc>
          <w:tcPr>
            <w:tcW w:w="2186" w:type="dxa"/>
            <w:tcBorders/>
          </w:tcPr>
          <w:p>
            <w:pPr>
              <w:pStyle w:val="Style13"/>
              <w:snapToGrid w:val="false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  <w:rtl w:val="true"/>
              </w:rPr>
            </w:r>
          </w:p>
          <w:p>
            <w:pPr>
              <w:pStyle w:val="Style13"/>
              <w:spacing w:lineRule="auto" w:line="480"/>
              <w:ind w:end="0"/>
              <w:jc w:val="both"/>
              <w:rPr>
                <w:sz w:val="26"/>
                <w:szCs w:val="28"/>
              </w:rPr>
            </w:pPr>
            <w:r>
              <w:rPr>
                <w:sz w:val="26"/>
                <w:sz w:val="26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rFonts w:ascii="Arial" w:hAnsi="Arial" w:cs="FrankRuehl"/>
          <w:sz w:val="36"/>
          <w:szCs w:val="36"/>
        </w:rPr>
      </w:pPr>
      <w:r>
        <w:rPr>
          <w:rFonts w:cs="FrankRuehl" w:ascii="Arial" w:hAnsi="Arial"/>
          <w:sz w:val="36"/>
          <w:szCs w:val="36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6"/>
          <w:szCs w:val="36"/>
        </w:rPr>
      </w:pPr>
      <w:r>
        <w:rPr>
          <w:rFonts w:cs="FrankRuehl" w:ascii="FrankRuehl" w:hAnsi="FrankRuehl"/>
          <w:sz w:val="36"/>
          <w:szCs w:val="3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sz w:val="36"/>
          <w:szCs w:val="36"/>
        </w:rPr>
      </w:pPr>
      <w:r>
        <w:rPr>
          <w:rFonts w:cs="FrankRuehl" w:ascii="Arial" w:hAnsi="Arial"/>
          <w:sz w:val="36"/>
          <w:szCs w:val="36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center"/>
        <w:rPr>
          <w:rFonts w:ascii="Arial" w:hAnsi="Arial" w:cs="FrankRuehl"/>
          <w:sz w:val="36"/>
          <w:szCs w:val="36"/>
        </w:rPr>
      </w:pPr>
      <w:r>
        <w:rPr>
          <w:rFonts w:cs="FrankRuehl" w:ascii="Arial" w:hAnsi="Arial"/>
          <w:sz w:val="36"/>
          <w:szCs w:val="36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b/>
          <w:bCs/>
          <w:sz w:val="36"/>
          <w:szCs w:val="36"/>
        </w:rPr>
      </w:pPr>
      <w:r>
        <w:rPr>
          <w:rFonts w:cs="FrankRuehl" w:ascii="Arial" w:hAnsi="Arial"/>
          <w:b/>
          <w:bCs/>
          <w:sz w:val="36"/>
          <w:szCs w:val="36"/>
          <w:rtl w:val="true"/>
        </w:rPr>
      </w:r>
    </w:p>
    <w:p>
      <w:pPr>
        <w:pStyle w:val="Normal"/>
        <w:ind w:end="0"/>
        <w:jc w:val="center"/>
        <w:rPr>
          <w:rFonts w:ascii="Arial" w:hAnsi="Arial" w:cs="FrankRuehl"/>
          <w:b/>
          <w:bCs/>
          <w:sz w:val="36"/>
          <w:szCs w:val="36"/>
        </w:rPr>
      </w:pPr>
      <w:r>
        <w:rPr>
          <w:rFonts w:cs="FrankRuehl" w:ascii="Arial" w:hAnsi="Arial"/>
          <w:b/>
          <w:bCs/>
          <w:sz w:val="36"/>
          <w:szCs w:val="36"/>
          <w:rtl w:val="true"/>
        </w:rPr>
      </w:r>
    </w:p>
    <w:p>
      <w:pPr>
        <w:pStyle w:val="Normal"/>
        <w:ind w:end="0"/>
        <w:jc w:val="center"/>
        <w:rPr>
          <w:rFonts w:ascii="Arial" w:hAnsi="Arial"/>
          <w:b/>
          <w:bCs/>
          <w:sz w:val="36"/>
          <w:szCs w:val="36"/>
          <w:u w:val="single"/>
        </w:rPr>
      </w:pPr>
      <w:bookmarkStart w:id="11" w:name="PsakDin"/>
      <w:bookmarkEnd w:id="11"/>
      <w:r>
        <w:rPr>
          <w:rFonts w:ascii="Arial" w:hAnsi="Arial" w:cs="FrankRuehl"/>
          <w:b/>
          <w:b/>
          <w:bCs/>
          <w:sz w:val="36"/>
          <w:sz w:val="36"/>
          <w:szCs w:val="36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36"/>
          <w:sz w:val="36"/>
          <w:szCs w:val="36"/>
          <w:u w:val="single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36"/>
          <w:sz w:val="36"/>
          <w:szCs w:val="36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rFonts w:ascii="Arial" w:hAnsi="Arial" w:cs="FrankRuehl"/>
          <w:b/>
          <w:bCs/>
          <w:sz w:val="20"/>
          <w:szCs w:val="36"/>
          <w:u w:val="single"/>
          <w:lang w:val="en-IL" w:eastAsia="en-IL"/>
        </w:rPr>
      </w:pPr>
      <w:r>
        <w:rPr>
          <w:rFonts w:cs="FrankRuehl" w:ascii="Arial" w:hAnsi="Arial"/>
          <w:b/>
          <w:bCs/>
          <w:sz w:val="20"/>
          <w:szCs w:val="36"/>
          <w:u w:val="single"/>
          <w:rtl w:val="true"/>
          <w:lang w:val="en-IL" w:eastAsia="en-IL"/>
        </w:rPr>
      </w:r>
      <w:bookmarkStart w:id="12" w:name="PsakDin"/>
      <w:bookmarkStart w:id="13" w:name="PsakDin"/>
      <w:bookmarkEnd w:id="13"/>
    </w:p>
    <w:p>
      <w:pPr>
        <w:pStyle w:val="Normal"/>
        <w:ind w:end="0"/>
        <w:jc w:val="start"/>
        <w:rPr>
          <w:sz w:val="20"/>
          <w:lang w:val="en-IL" w:eastAsia="en-IL"/>
        </w:rPr>
      </w:pPr>
      <w:r>
        <w:rPr>
          <w:sz w:val="20"/>
          <w:rtl w:val="true"/>
          <w:lang w:val="en-IL" w:eastAsia="en-IL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ind w:end="0"/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23.11.11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david-p"/>
        <w:numPr>
          <w:ilvl w:val="0"/>
          <w:numId w:val="2"/>
        </w:numPr>
        <w:bidi w:val="1"/>
        <w:spacing w:lineRule="auto" w:line="480"/>
        <w:ind w:hanging="360" w:start="720" w:end="0"/>
        <w:jc w:val="both"/>
        <w:rPr>
          <w:rFonts w:cs="David"/>
          <w:sz w:val="24"/>
          <w:szCs w:val="24"/>
        </w:rPr>
      </w:pPr>
      <w:bookmarkStart w:id="14" w:name="ABSTRACT_START"/>
      <w:bookmarkEnd w:id="14"/>
      <w:r>
        <w:rPr>
          <w:rStyle w:val="david-h1"/>
          <w:rFonts w:cs="David"/>
          <w:b/>
          <w:b/>
          <w:bCs/>
          <w:rtl w:val="true"/>
        </w:rPr>
        <w:t>נשיאת</w:t>
      </w:r>
      <w:r>
        <w:rPr>
          <w:rStyle w:val="david-h1"/>
          <w:b/>
          <w:b/>
          <w:bCs/>
          <w:rtl w:val="true"/>
        </w:rPr>
        <w:t xml:space="preserve"> </w:t>
      </w:r>
      <w:r>
        <w:rPr>
          <w:rStyle w:val="david-h1"/>
          <w:rFonts w:cs="David"/>
          <w:b/>
          <w:b/>
          <w:bCs/>
          <w:rtl w:val="true"/>
        </w:rPr>
        <w:t>נשק</w:t>
      </w:r>
      <w:r>
        <w:rPr>
          <w:rStyle w:val="david-h1"/>
          <w:b/>
          <w:b/>
          <w:bCs/>
          <w:rtl w:val="true"/>
        </w:rPr>
        <w:t xml:space="preserve"> </w:t>
      </w:r>
      <w:r>
        <w:rPr>
          <w:rStyle w:val="david-h1"/>
          <w:rFonts w:cs="David"/>
          <w:b/>
          <w:b/>
          <w:bCs/>
          <w:rtl w:val="true"/>
        </w:rPr>
        <w:t>ותחמושת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עבירה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לפי</w:t>
      </w:r>
      <w:r>
        <w:rPr>
          <w:rStyle w:val="david-h1"/>
          <w:rtl w:val="true"/>
        </w:rPr>
        <w:t xml:space="preserve"> </w:t>
      </w:r>
      <w:hyperlink r:id="rId8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</w:rPr>
          <w:t>144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  <w:rtl w:val="true"/>
          </w:rPr>
          <w:t>)</w:t>
        </w:r>
      </w:hyperlink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ל</w:t>
      </w:r>
      <w:hyperlink r:id="rId9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התשל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ז</w:t>
      </w:r>
      <w:r>
        <w:rPr>
          <w:rStyle w:val="david-h1"/>
          <w:rFonts w:cs="David"/>
          <w:rtl w:val="true"/>
        </w:rPr>
        <w:t>-</w:t>
      </w:r>
      <w:r>
        <w:rPr>
          <w:rStyle w:val="david-h1"/>
          <w:rFonts w:cs="David"/>
        </w:rPr>
        <w:t>1977</w:t>
      </w:r>
      <w:r>
        <w:rPr>
          <w:rStyle w:val="david-h1"/>
          <w:rFonts w:cs="David"/>
          <w:rtl w:val="true"/>
        </w:rPr>
        <w:t xml:space="preserve"> (</w:t>
      </w:r>
      <w:r>
        <w:rPr>
          <w:rStyle w:val="david-h1"/>
          <w:rFonts w:cs="David"/>
          <w:rtl w:val="true"/>
        </w:rPr>
        <w:t>להלן</w:t>
      </w:r>
      <w:r>
        <w:rPr>
          <w:rStyle w:val="david-h1"/>
          <w:rFonts w:cs="David"/>
          <w:rtl w:val="true"/>
        </w:rPr>
        <w:t>: "</w:t>
      </w:r>
      <w:r>
        <w:rPr>
          <w:rStyle w:val="david-h1"/>
          <w:rFonts w:cs="David"/>
          <w:rtl w:val="true"/>
        </w:rPr>
        <w:t>חוק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העונשין</w:t>
      </w:r>
      <w:r>
        <w:rPr>
          <w:rStyle w:val="david-h1"/>
          <w:rFonts w:cs="David"/>
          <w:rtl w:val="true"/>
        </w:rPr>
        <w:t>");</w:t>
      </w:r>
    </w:p>
    <w:p>
      <w:pPr>
        <w:pStyle w:val="david-p"/>
        <w:numPr>
          <w:ilvl w:val="0"/>
          <w:numId w:val="2"/>
        </w:numPr>
        <w:bidi w:val="1"/>
        <w:spacing w:lineRule="auto" w:line="480"/>
        <w:ind w:hanging="360" w:start="720" w:end="0"/>
        <w:jc w:val="both"/>
        <w:rPr>
          <w:rFonts w:cs="David"/>
          <w:sz w:val="24"/>
          <w:szCs w:val="24"/>
        </w:rPr>
      </w:pPr>
      <w:r>
        <w:rPr>
          <w:rStyle w:val="david-h1"/>
          <w:rFonts w:cs="David"/>
          <w:b/>
          <w:b/>
          <w:bCs/>
          <w:rtl w:val="true"/>
        </w:rPr>
        <w:t>איומים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עבירה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לפי</w:t>
      </w:r>
      <w:r>
        <w:rPr>
          <w:rStyle w:val="david-h1"/>
          <w:rtl w:val="true"/>
        </w:rPr>
        <w:t xml:space="preserve"> </w:t>
      </w:r>
      <w:hyperlink r:id="rId10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</w:rPr>
          <w:t>192</w:t>
        </w:r>
      </w:hyperlink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rtl w:val="true"/>
        </w:rPr>
        <w:t>ל</w:t>
      </w:r>
      <w:hyperlink r:id="rId11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Style w:val="david-h1"/>
          <w:rFonts w:cs="David"/>
          <w:rtl w:val="true"/>
        </w:rPr>
        <w:t xml:space="preserve">; </w:t>
      </w:r>
    </w:p>
    <w:p>
      <w:pPr>
        <w:pStyle w:val="david-p"/>
        <w:numPr>
          <w:ilvl w:val="0"/>
          <w:numId w:val="2"/>
        </w:numPr>
        <w:bidi w:val="1"/>
        <w:spacing w:lineRule="auto" w:line="480"/>
        <w:ind w:hanging="360" w:start="720" w:end="0"/>
        <w:jc w:val="both"/>
        <w:rPr>
          <w:rFonts w:cs="David"/>
          <w:sz w:val="24"/>
          <w:szCs w:val="24"/>
        </w:rPr>
      </w:pPr>
      <w:r>
        <w:rPr>
          <w:rStyle w:val="david-h1"/>
          <w:rFonts w:cs="David"/>
          <w:b/>
          <w:b/>
          <w:bCs/>
          <w:rtl w:val="true"/>
        </w:rPr>
        <w:t>יריות</w:t>
      </w:r>
      <w:r>
        <w:rPr>
          <w:rStyle w:val="david-h1"/>
          <w:b/>
          <w:b/>
          <w:bCs/>
          <w:rtl w:val="true"/>
        </w:rPr>
        <w:t xml:space="preserve"> </w:t>
      </w:r>
      <w:r>
        <w:rPr>
          <w:rStyle w:val="david-h1"/>
          <w:rFonts w:cs="David"/>
          <w:b/>
          <w:b/>
          <w:bCs/>
          <w:rtl w:val="true"/>
        </w:rPr>
        <w:t>באזור</w:t>
      </w:r>
      <w:r>
        <w:rPr>
          <w:rStyle w:val="david-h1"/>
          <w:b/>
          <w:b/>
          <w:bCs/>
          <w:rtl w:val="true"/>
        </w:rPr>
        <w:t xml:space="preserve"> </w:t>
      </w:r>
      <w:r>
        <w:rPr>
          <w:rStyle w:val="david-h1"/>
          <w:rFonts w:cs="David"/>
          <w:b/>
          <w:b/>
          <w:bCs/>
          <w:rtl w:val="true"/>
        </w:rPr>
        <w:t>מגורים</w:t>
      </w:r>
      <w:r>
        <w:rPr>
          <w:rStyle w:val="david-h1"/>
          <w:b/>
          <w:b/>
          <w:bCs/>
          <w:rtl w:val="true"/>
        </w:rPr>
        <w:t xml:space="preserve"> </w:t>
      </w:r>
      <w:r>
        <w:rPr>
          <w:rStyle w:val="david-h1"/>
          <w:rFonts w:cs="David"/>
          <w:rtl w:val="true"/>
        </w:rPr>
        <w:t>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עבירה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לפי</w:t>
      </w:r>
      <w:r>
        <w:rPr>
          <w:rStyle w:val="david-h1"/>
          <w:rtl w:val="true"/>
        </w:rPr>
        <w:t xml:space="preserve"> </w:t>
      </w:r>
      <w:hyperlink r:id="rId12"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סעיפים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David"/>
            <w:color w:val="0000FF"/>
            <w:sz w:val="24"/>
            <w:sz w:val="24"/>
            <w:szCs w:val="24"/>
            <w:u w:val="single"/>
          </w:rPr>
          <w:t>340</w:t>
        </w:r>
        <w:r>
          <w:rPr>
            <w:rStyle w:val="Hyperlink"/>
            <w:rFonts w:ascii="Times New Roman" w:hAnsi="Times New Roman" w:cs="Times New Roman"/>
            <w:color w:val="0000FF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</w:t>
      </w:r>
      <w:hyperlink r:id="rId13">
        <w:r>
          <w:rPr>
            <w:rStyle w:val="Hyperlink"/>
            <w:rFonts w:cs="David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העונשין</w:t>
        </w:r>
      </w:hyperlink>
      <w:r>
        <w:rPr>
          <w:rStyle w:val="david-h1"/>
          <w:rFonts w:cs="David"/>
          <w:rtl w:val="true"/>
        </w:rPr>
        <w:t>;</w:t>
      </w:r>
    </w:p>
    <w:p>
      <w:pPr>
        <w:pStyle w:val="normal-p"/>
        <w:bidi w:val="1"/>
        <w:ind w:end="0"/>
        <w:jc w:val="both"/>
        <w:rPr>
          <w:rFonts w:cs="David"/>
        </w:rPr>
      </w:pPr>
      <w:bookmarkStart w:id="15" w:name="ABSTRACT_END"/>
      <w:bookmarkEnd w:id="15"/>
      <w:r>
        <w:rPr>
          <w:rFonts w:cs="Times New Roman"/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</w:t>
      </w:r>
      <w:r>
        <w:rPr>
          <w:rFonts w:cs="David"/>
          <w:rtl w:val="true"/>
        </w:rPr>
        <w:t>.</w:t>
      </w:r>
    </w:p>
    <w:p>
      <w:pPr>
        <w:pStyle w:val="normal-p"/>
        <w:bidi w:val="1"/>
        <w:spacing w:lineRule="auto" w:line="480"/>
        <w:ind w:end="0"/>
        <w:jc w:val="both"/>
        <w:rPr>
          <w:rFonts w:cs="David"/>
        </w:rPr>
      </w:pP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כ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ובהיעדר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התנגדות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עריכת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תסקיר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בעניינו</w:t>
      </w:r>
      <w:r>
        <w:rPr>
          <w:rFonts w:cs="David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/>
          <w:bCs/>
          <w:sz w:val="20"/>
          <w:sz w:val="20"/>
          <w:u w:val="single"/>
          <w:rtl w:val="true"/>
        </w:rPr>
        <w:t>כתב</w:t>
      </w:r>
      <w:r>
        <w:rPr>
          <w:rFonts w:cs="Times New Roman"/>
          <w:b/>
          <w:b/>
          <w:bCs/>
          <w:sz w:val="20"/>
          <w:sz w:val="20"/>
          <w:u w:val="single"/>
          <w:rtl w:val="true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0"/>
          <w:sz w:val="20"/>
          <w:u w:val="single"/>
          <w:rtl w:val="true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</w:rPr>
        <w:t>המתוקן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סאלח</w:t>
      </w:r>
      <w:r>
        <w:rPr>
          <w:rtl w:val="true"/>
        </w:rPr>
        <w:t xml:space="preserve">")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קאסם</w:t>
      </w:r>
      <w:r>
        <w:rPr>
          <w:rtl w:val="true"/>
        </w:rPr>
        <w:t xml:space="preserve">").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סוהיר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המתלוננת</w:t>
      </w:r>
      <w:r>
        <w:rPr>
          <w:rtl w:val="true"/>
        </w:rPr>
        <w:t xml:space="preserve">")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והתגוררה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לקאסם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1.7.11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13.30</w:t>
      </w:r>
      <w:r>
        <w:rPr>
          <w:rtl w:val="true"/>
        </w:rPr>
        <w:t xml:space="preserve">,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14.30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tl w:val="true"/>
        </w:rPr>
        <w:t xml:space="preserve">, </w:t>
      </w:r>
      <w:r>
        <w:rPr>
          <w:rtl w:val="true"/>
        </w:rPr>
        <w:t>ובעודו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באומרו</w:t>
      </w:r>
      <w:r>
        <w:rPr>
          <w:rtl w:val="true"/>
        </w:rPr>
        <w:t>: "</w:t>
      </w:r>
      <w:r>
        <w:rPr>
          <w:rtl w:val="true"/>
        </w:rPr>
        <w:t>שאלוהים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",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לנשיאתם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sz w:val="20"/>
          <w:u w:val="single"/>
        </w:rPr>
      </w:pPr>
      <w:r>
        <w:rPr>
          <w:b/>
          <w:b/>
          <w:bCs/>
          <w:sz w:val="20"/>
          <w:sz w:val="20"/>
          <w:u w:val="single"/>
          <w:rtl w:val="true"/>
        </w:rPr>
        <w:t>תסקיר</w:t>
      </w:r>
      <w:r>
        <w:rPr>
          <w:rFonts w:cs="Times New Roman"/>
          <w:b/>
          <w:b/>
          <w:bCs/>
          <w:sz w:val="20"/>
          <w:sz w:val="20"/>
          <w:u w:val="single"/>
          <w:rtl w:val="true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</w:rPr>
        <w:t>שרות</w:t>
      </w:r>
      <w:r>
        <w:rPr>
          <w:rFonts w:cs="Times New Roman"/>
          <w:b/>
          <w:b/>
          <w:bCs/>
          <w:sz w:val="20"/>
          <w:sz w:val="20"/>
          <w:u w:val="single"/>
          <w:rtl w:val="true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</w:rPr>
        <w:t>המבחן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לחייהם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cs="Times New Roman"/>
          <w:rtl w:val="true"/>
        </w:rPr>
        <w:t xml:space="preserve"> </w:t>
      </w:r>
      <w:r>
        <w:rPr/>
        <w:t>13-28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מטעמי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מלוכדת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ומורכבים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המורחבת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וההוצאות</w:t>
      </w:r>
      <w:r>
        <w:rPr>
          <w:rtl w:val="true"/>
        </w:rPr>
        <w:t xml:space="preserve">.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וסטודנטית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והמועצמת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הטריגר</w:t>
      </w:r>
      <w:r>
        <w:rPr>
          <w:rtl w:val="true"/>
        </w:rPr>
        <w:t xml:space="preserve">" </w:t>
      </w:r>
      <w:r>
        <w:rPr>
          <w:rtl w:val="true"/>
        </w:rPr>
        <w:t>לאיבוד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השליטה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הפוגענית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המשפטיות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המליץ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לתקופה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קצרה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/>
          <w:bCs/>
          <w:sz w:val="20"/>
          <w:sz w:val="20"/>
          <w:u w:val="single"/>
          <w:rtl w:val="true"/>
        </w:rPr>
        <w:t>ראיות</w:t>
      </w:r>
      <w:r>
        <w:rPr>
          <w:rFonts w:cs="Times New Roman"/>
          <w:b/>
          <w:b/>
          <w:bCs/>
          <w:sz w:val="20"/>
          <w:sz w:val="20"/>
          <w:u w:val="single"/>
          <w:rtl w:val="true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</w:rPr>
        <w:t>לעונש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סברין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אסדי</w:t>
      </w:r>
      <w:r>
        <w:rPr>
          <w:rtl w:val="true"/>
        </w:rPr>
        <w:t xml:space="preserve">.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.  </w:t>
      </w:r>
      <w:r>
        <w:rPr>
          <w:rtl w:val="true"/>
        </w:rPr>
        <w:t>סברין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אסדי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מלוכדת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ומגובשת</w:t>
      </w:r>
      <w:r>
        <w:rPr>
          <w:rtl w:val="true"/>
        </w:rPr>
        <w:t xml:space="preserve">,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" </w:t>
      </w:r>
      <w:r>
        <w:rPr>
          <w:rtl w:val="true"/>
        </w:rPr>
        <w:t>ולעולם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/>
          <w:bCs/>
          <w:sz w:val="20"/>
          <w:sz w:val="20"/>
          <w:u w:val="single"/>
          <w:rtl w:val="true"/>
        </w:rPr>
        <w:t>הטיעונים</w:t>
      </w:r>
      <w:r>
        <w:rPr>
          <w:rFonts w:cs="Times New Roman"/>
          <w:b/>
          <w:b/>
          <w:bCs/>
          <w:sz w:val="20"/>
          <w:sz w:val="20"/>
          <w:u w:val="single"/>
          <w:rtl w:val="true"/>
        </w:rPr>
        <w:t xml:space="preserve"> </w:t>
      </w:r>
      <w:r>
        <w:rPr>
          <w:b/>
          <w:b/>
          <w:bCs/>
          <w:sz w:val="20"/>
          <w:sz w:val="20"/>
          <w:u w:val="single"/>
          <w:rtl w:val="true"/>
        </w:rPr>
        <w:t>לעונש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ובע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גיסתו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כשבאותה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פעוט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נגזרת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.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משבית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כריתת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.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ולילדיה</w:t>
      </w:r>
      <w:r>
        <w:rPr>
          <w:rtl w:val="true"/>
        </w:rPr>
        <w:t xml:space="preserve">, </w:t>
      </w:r>
      <w:r>
        <w:rPr>
          <w:rtl w:val="true"/>
        </w:rPr>
        <w:t>והפחד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משתוקנו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לביוב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) </w:t>
      </w:r>
      <w:r>
        <w:rPr>
          <w:rtl w:val="true"/>
        </w:rPr>
        <w:t>ולחלופי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והאחרונה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לביוב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/>
          <w:bCs/>
          <w:sz w:val="20"/>
          <w:sz w:val="20"/>
          <w:u w:val="single"/>
          <w:rtl w:val="true"/>
        </w:rPr>
        <w:t>דיון</w:t>
      </w:r>
      <w:r>
        <w:rPr>
          <w:rFonts w:cs="Times New Roman"/>
          <w:b/>
          <w:b/>
          <w:bCs/>
          <w:sz w:val="20"/>
          <w:sz w:val="20"/>
          <w:u w:val="single"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וטבען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ופוגעני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שנקלעו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0"/>
          <w:szCs w:val="20"/>
        </w:rPr>
      </w:pP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מחייבת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פואד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דאחל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]  </w:t>
      </w:r>
      <w:r>
        <w:rPr/>
        <w:t>23.9.04</w:t>
      </w:r>
      <w:r>
        <w:rPr>
          <w:rtl w:val="true"/>
        </w:rPr>
        <w:t xml:space="preserve">;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אגא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אדהאם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tl w:val="true"/>
        </w:rPr>
        <w:t>, [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] </w:t>
      </w:r>
      <w:r>
        <w:rPr/>
        <w:t>12.7.06</w:t>
      </w:r>
      <w:r>
        <w:rPr>
          <w:rtl w:val="true"/>
        </w:rPr>
        <w:t xml:space="preserve">).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"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מסכנים</w:t>
      </w:r>
      <w:r>
        <w:rPr>
          <w:rtl w:val="true"/>
        </w:rPr>
        <w:t xml:space="preserve">,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ייסוגו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sz w:val="16"/>
          <w:szCs w:val="20"/>
        </w:rPr>
      </w:pPr>
      <w:r>
        <w:rPr>
          <w:sz w:val="16"/>
          <w:szCs w:val="20"/>
          <w:rtl w:val="true"/>
        </w:rPr>
      </w:r>
    </w:p>
    <w:p>
      <w:pPr>
        <w:pStyle w:val="Normal"/>
        <w:spacing w:lineRule="auto" w:line="480"/>
        <w:ind w:start="1179" w:end="1134"/>
        <w:jc w:val="both"/>
        <w:rPr/>
      </w:pPr>
      <w:r>
        <w:rPr>
          <w:rtl w:val="true"/>
        </w:rPr>
        <w:t>"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...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 .</w:t>
      </w:r>
    </w:p>
    <w:p>
      <w:pPr>
        <w:pStyle w:val="Normal"/>
        <w:spacing w:lineRule="auto" w:line="480"/>
        <w:ind w:start="1179" w:end="1134"/>
        <w:jc w:val="both"/>
        <w:rPr/>
      </w:pPr>
      <w:r>
        <w:rPr>
          <w:rtl w:val="true"/>
        </w:rPr>
        <w:t>(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8012/04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b/>
          <w:bCs/>
          <w:u w:val="single"/>
          <w:rtl w:val="true"/>
        </w:rPr>
        <w:t>,</w:t>
      </w:r>
      <w:r>
        <w:rPr>
          <w:rtl w:val="true"/>
        </w:rPr>
        <w:t xml:space="preserve"> </w:t>
      </w:r>
      <w:r>
        <w:rPr/>
        <w:t>16.11.05</w:t>
      </w:r>
      <w:r>
        <w:rPr>
          <w:rtl w:val="true"/>
        </w:rPr>
        <w:t xml:space="preserve"> [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>])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sz w:val="20"/>
          <w:szCs w:val="20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overflowPunct w:val="false"/>
        <w:autoSpaceDE w:val="false"/>
        <w:spacing w:lineRule="auto" w:line="480"/>
        <w:ind w:start="1179" w:end="1134"/>
        <w:jc w:val="both"/>
        <w:rPr/>
      </w:pPr>
      <w:r>
        <w:rPr>
          <w:rtl w:val="true"/>
        </w:rPr>
        <w:t>"</w:t>
      </w:r>
      <w:r>
        <w:rPr>
          <w:u w:val="single"/>
          <w:rtl w:val="true"/>
        </w:rPr>
        <w:t>הסכנה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הטמונה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החמורה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מצדיקה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עונשי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שזו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הראשונה</w:t>
      </w:r>
      <w:r>
        <w:rPr>
          <w:rtl w:val="true"/>
        </w:rPr>
        <w:t xml:space="preserve">. </w:t>
      </w:r>
      <w:r>
        <w:rPr>
          <w:rtl w:val="true"/>
        </w:rPr>
        <w:t>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." </w:t>
      </w:r>
    </w:p>
    <w:p>
      <w:pPr>
        <w:pStyle w:val="Normal"/>
        <w:overflowPunct w:val="false"/>
        <w:autoSpaceDE w:val="false"/>
        <w:spacing w:lineRule="auto" w:line="480"/>
        <w:ind w:start="1179" w:end="1134"/>
        <w:jc w:val="both"/>
        <w:rPr/>
      </w:pP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והשוו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פואד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דאחל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] </w:t>
      </w:r>
      <w:r>
        <w:rPr/>
        <w:t>29.4.04</w:t>
      </w:r>
      <w:r>
        <w:rPr>
          <w:rtl w:val="true"/>
        </w:rPr>
        <w:t xml:space="preserve">).  </w:t>
      </w:r>
    </w:p>
    <w:p>
      <w:pPr>
        <w:pStyle w:val="normal-p"/>
        <w:bidi w:val="1"/>
        <w:ind w:end="0"/>
        <w:jc w:val="both"/>
        <w:rPr>
          <w:rFonts w:cs="David"/>
        </w:rPr>
      </w:pP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להחמיר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Fonts w:cs="David"/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-p"/>
        <w:bidi w:val="1"/>
        <w:ind w:end="0"/>
        <w:jc w:val="both"/>
        <w:rPr>
          <w:rFonts w:cs="David"/>
        </w:rPr>
      </w:pP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סכסוכים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ביהמ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Fonts w:cs="David"/>
          <w:rtl w:val="true"/>
        </w:rPr>
        <w:t xml:space="preserve">: </w:t>
      </w:r>
    </w:p>
    <w:p>
      <w:pPr>
        <w:pStyle w:val="normal-p"/>
        <w:bidi w:val="1"/>
        <w:spacing w:lineRule="auto" w:line="480"/>
        <w:ind w:start="1179" w:end="1134"/>
        <w:jc w:val="both"/>
        <w:rPr>
          <w:rFonts w:cs="David"/>
        </w:rPr>
      </w:pPr>
      <w:r>
        <w:rPr>
          <w:rFonts w:cs="David"/>
          <w:rtl w:val="true"/>
        </w:rPr>
        <w:t>"</w:t>
      </w:r>
      <w:r>
        <w:rPr>
          <w:rFonts w:cs="David"/>
          <w:rtl w:val="true"/>
        </w:rPr>
        <w:t>תופעה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בחברתנו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ממארת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תרומתו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למלחמה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מלחמה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ויתורים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ונסלח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תתגבר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ותלך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חברתנו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ותרומתו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למלחמה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באלימות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בהטלת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בבואנו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כמשיב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שלפנינו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עינינו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שיקומו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Fonts w:cs="David"/>
          <w:rtl w:val="true"/>
        </w:rPr>
        <w:t xml:space="preserve">;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הנפגעים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ממעשיו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הנפגעים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ממעשים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בכוח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המשיב</w:t>
      </w:r>
      <w:r>
        <w:rPr>
          <w:rFonts w:cs="David"/>
          <w:rtl w:val="true"/>
        </w:rPr>
        <w:t>". (</w:t>
      </w:r>
      <w:hyperlink r:id="rId21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5753/04</w:t>
        </w:r>
      </w:hyperlink>
      <w:r>
        <w:rPr>
          <w:rFonts w:cs="David"/>
          <w:rtl w:val="true"/>
        </w:rPr>
        <w:t xml:space="preserve">  </w:t>
      </w:r>
      <w:r>
        <w:rPr>
          <w:rFonts w:cs="David"/>
          <w:b/>
          <w:b/>
          <w:bCs/>
          <w:u w:val="single"/>
          <w:rtl w:val="true"/>
        </w:rPr>
        <w:t>מדינת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ישראל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נ</w:t>
      </w:r>
      <w:r>
        <w:rPr>
          <w:rFonts w:cs="David"/>
          <w:b/>
          <w:bCs/>
          <w:u w:val="single"/>
          <w:rtl w:val="true"/>
        </w:rPr>
        <w:t xml:space="preserve">' </w:t>
      </w:r>
      <w:r>
        <w:rPr>
          <w:rFonts w:cs="David"/>
          <w:b/>
          <w:b/>
          <w:bCs/>
          <w:u w:val="single"/>
          <w:rtl w:val="true"/>
        </w:rPr>
        <w:t>ירון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רייכמן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[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פורסם</w:t>
      </w:r>
      <w:r>
        <w:rPr>
          <w:rFonts w:cs="David"/>
          <w:rtl w:val="true"/>
        </w:rPr>
        <w:t xml:space="preserve">] </w:t>
      </w:r>
      <w:r>
        <w:rPr>
          <w:rFonts w:cs="David"/>
        </w:rPr>
        <w:t>7.2.05</w:t>
      </w:r>
      <w:r>
        <w:rPr>
          <w:rFonts w:cs="David"/>
          <w:rtl w:val="true"/>
        </w:rPr>
        <w:t>).</w:t>
      </w:r>
    </w:p>
    <w:p>
      <w:pPr>
        <w:pStyle w:val="Normal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אף חומרת עבירותיו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ענישתו תהא על פי שיטת הענישה האינדיוידואלית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דהיינו על פי נסיבותיו המיוחדות של הנאשם ושל מקרהו</w:t>
      </w:r>
      <w:r>
        <w:rPr>
          <w:rFonts w:cs="Arial" w:ascii="Arial" w:hAnsi="Arial"/>
          <w:rtl w:val="true"/>
        </w:rPr>
        <w:t>. (</w:t>
      </w:r>
      <w:r>
        <w:rPr>
          <w:rFonts w:ascii="Arial" w:hAnsi="Arial" w:cs="Arial"/>
          <w:rtl w:val="true"/>
        </w:rPr>
        <w:t xml:space="preserve">ראו </w:t>
      </w:r>
      <w:hyperlink r:id="rId22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5106/99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אבו ניג</w:t>
        </w:r>
        <w:r>
          <w:rPr>
            <w:rStyle w:val="Hyperlink"/>
            <w:rFonts w:cs="Arial" w:ascii="Arial" w:hAnsi="Arial"/>
            <w:rtl w:val="true"/>
          </w:rPr>
          <w:t>'</w:t>
        </w:r>
        <w:r>
          <w:rPr>
            <w:rStyle w:val="Hyperlink"/>
            <w:rFonts w:ascii="Arial" w:hAnsi="Arial" w:cs="Arial"/>
            <w:rtl w:val="true"/>
          </w:rPr>
          <w:t>מה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מדינת ישראל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נד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350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354</w:t>
      </w:r>
      <w:r>
        <w:rPr>
          <w:rFonts w:cs="Arial" w:ascii="Arial" w:hAnsi="Arial"/>
          <w:rtl w:val="true"/>
        </w:rPr>
        <w:t xml:space="preserve">; </w:t>
      </w:r>
      <w:hyperlink r:id="rId23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433/89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אטיאס נ</w:t>
        </w:r>
        <w:r>
          <w:rPr>
            <w:rStyle w:val="Hyperlink"/>
            <w:rFonts w:cs="Arial" w:ascii="Arial" w:hAnsi="Arial"/>
            <w:rtl w:val="true"/>
          </w:rPr>
          <w:t xml:space="preserve">' </w:t>
        </w:r>
        <w:r>
          <w:rPr>
            <w:rStyle w:val="Hyperlink"/>
            <w:rFonts w:ascii="Arial" w:hAnsi="Arial" w:cs="Arial"/>
            <w:rtl w:val="true"/>
          </w:rPr>
          <w:t>מדינת ישראל</w:t>
        </w:r>
        <w:r>
          <w:rPr>
            <w:rStyle w:val="Hyperlink"/>
            <w:rFonts w:cs="Arial" w:ascii="Arial" w:hAnsi="Arial"/>
            <w:rtl w:val="true"/>
          </w:rPr>
          <w:t xml:space="preserve">, </w:t>
        </w:r>
        <w:r>
          <w:rPr>
            <w:rStyle w:val="Hyperlink"/>
            <w:rFonts w:ascii="Arial" w:hAnsi="Arial" w:cs="Arial"/>
            <w:rtl w:val="true"/>
          </w:rPr>
          <w:t>פ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>ד מג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), </w:t>
      </w:r>
      <w:r>
        <w:rPr>
          <w:rFonts w:cs="Arial" w:ascii="Arial" w:hAnsi="Arial"/>
        </w:rPr>
        <w:t>170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174-175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hanging="26" w:start="2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לא הסגיר את הנשק בו השתמש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בבית המשפט טען הנאשם כי הנשק נחתך ונזרק לביוב ואילו בפני שרות המבחן הותיר הנאשם נושא זה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עמום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זו הייתה כאמור גם אחת הסיבות ששרות המבחן החליט שלא לבוא בהמלצה טיפולית בעניינו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ידוע כי בשל ריבוי כלי הנשק הנמצאים בידי ציבור גדול ללא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בתי המשפט נוהגים להקל מעט עם נאשמים המסגירים את כלי הנשק למשטרה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בכדי שיהא בכך לעודד גם אחרים לנהוג כמוהם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26"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hanging="26" w:start="2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אוכל לזקוף לזכות הנאשם את הסגרת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צודקת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מכיוון שהנשק לא הוסגר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לשלול בוודאות את האפשרות כי הנשק ישמש בעתיד את הנאשם או אדם אחר ובשל טענותיו הסותרות של הנאשם בנושא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בתסקיר המבחן ובפני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אוכל להיות בטוח כי הנשק הושמד כדברי הנאשם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-p"/>
        <w:bidi w:val="1"/>
        <w:spacing w:lineRule="auto" w:line="480"/>
        <w:ind w:end="0"/>
        <w:jc w:val="both"/>
        <w:rPr>
          <w:rFonts w:cs="David"/>
        </w:rPr>
      </w:pPr>
      <w:r>
        <w:rPr>
          <w:rFonts w:cs="David"/>
          <w:rtl w:val="true"/>
        </w:rPr>
        <w:t>לזכות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אזקוף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הודייתו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ההליך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הודאתו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המתלוננת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כשהסכימה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במיוחס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והודאתו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האחרים</w:t>
      </w:r>
      <w:r>
        <w:rPr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480"/>
        <w:ind w:end="0"/>
        <w:jc w:val="both"/>
        <w:rPr>
          <w:rFonts w:cs="David"/>
        </w:rPr>
      </w:pP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בהודאה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ואמיתית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ושוכנעתי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שמצטער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חטא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,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לרסנו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Fonts w:ascii="Arial" w:hAnsi="Arial" w:cs="Arial"/>
          <w:rtl w:val="true"/>
        </w:rPr>
        <w:t>אחד משיקולי הענישה במקרים כגון אלה הוא הערכת המסוכנות של הנאשם בדבר חזרה על עבירות דומות בעתיד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לטשטש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ותומכת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קטנה</w:t>
      </w:r>
      <w:r>
        <w:rPr>
          <w:rtl w:val="true"/>
        </w:rPr>
        <w:t xml:space="preserve">, </w:t>
      </w:r>
      <w:r>
        <w:rPr>
          <w:rtl w:val="true"/>
        </w:rPr>
        <w:t>והרושם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מחזקים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Style w:val="david-h1"/>
          <w:rtl w:val="true"/>
        </w:rPr>
        <w:t>ככלל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הסכם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הסולחה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אינו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חזות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הכל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ראו</w:t>
      </w:r>
      <w:r>
        <w:rPr>
          <w:rStyle w:val="david-h1"/>
          <w:rtl w:val="true"/>
        </w:rPr>
        <w:t xml:space="preserve">: </w:t>
      </w:r>
      <w:r>
        <w:rPr>
          <w:rStyle w:val="david-h1"/>
          <w:rtl w:val="true"/>
        </w:rPr>
        <w:t>תפ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(</w:t>
      </w:r>
      <w:r>
        <w:rPr>
          <w:rStyle w:val="david-h1"/>
          <w:rtl w:val="true"/>
        </w:rPr>
        <w:t>חי</w:t>
      </w:r>
      <w:r>
        <w:rPr>
          <w:rStyle w:val="david-h1"/>
          <w:rtl w:val="true"/>
        </w:rPr>
        <w:t xml:space="preserve">') </w:t>
      </w:r>
      <w:r>
        <w:rPr>
          <w:rStyle w:val="david-h1"/>
          <w:b/>
          <w:b/>
          <w:bCs/>
          <w:u w:val="single"/>
          <w:rtl w:val="true"/>
        </w:rPr>
        <w:t>מדינת</w:t>
      </w:r>
      <w:r>
        <w:rPr>
          <w:rStyle w:val="david-h1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avid-h1"/>
          <w:b/>
          <w:b/>
          <w:bCs/>
          <w:u w:val="single"/>
          <w:rtl w:val="true"/>
        </w:rPr>
        <w:t>ישראל</w:t>
      </w:r>
      <w:r>
        <w:rPr>
          <w:rStyle w:val="david-h1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avid-h1"/>
          <w:b/>
          <w:b/>
          <w:bCs/>
          <w:u w:val="single"/>
          <w:rtl w:val="true"/>
        </w:rPr>
        <w:t>נ</w:t>
      </w:r>
      <w:r>
        <w:rPr>
          <w:rStyle w:val="david-h1"/>
          <w:b/>
          <w:bCs/>
          <w:u w:val="single"/>
          <w:rtl w:val="true"/>
        </w:rPr>
        <w:t xml:space="preserve">' </w:t>
      </w:r>
      <w:r>
        <w:rPr>
          <w:rStyle w:val="david-h1"/>
          <w:b/>
          <w:b/>
          <w:bCs/>
          <w:u w:val="single"/>
          <w:rtl w:val="true"/>
        </w:rPr>
        <w:t>יוסף</w:t>
      </w:r>
      <w:r>
        <w:rPr>
          <w:rStyle w:val="david-h1"/>
          <w:rFonts w:cs="Times New Roman"/>
          <w:b/>
          <w:b/>
          <w:bCs/>
          <w:u w:val="single"/>
          <w:rtl w:val="true"/>
        </w:rPr>
        <w:t xml:space="preserve"> </w:t>
      </w:r>
      <w:r>
        <w:rPr>
          <w:rStyle w:val="david-h1"/>
          <w:b/>
          <w:b/>
          <w:bCs/>
          <w:u w:val="single"/>
          <w:rtl w:val="true"/>
        </w:rPr>
        <w:t>מטר</w:t>
      </w:r>
      <w:r>
        <w:rPr>
          <w:rStyle w:val="david-h1"/>
          <w:rFonts w:cs="Times New Roman"/>
          <w:b/>
          <w:b/>
          <w:bCs/>
          <w:rtl w:val="true"/>
        </w:rPr>
        <w:t xml:space="preserve"> </w:t>
      </w:r>
      <w:r>
        <w:rPr>
          <w:rStyle w:val="david-h1"/>
          <w:rtl w:val="true"/>
        </w:rPr>
        <w:t>[</w:t>
      </w:r>
      <w:r>
        <w:rPr>
          <w:rStyle w:val="david-h1"/>
          <w:rtl w:val="true"/>
        </w:rPr>
        <w:t>לא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פורסם</w:t>
      </w:r>
      <w:r>
        <w:rPr>
          <w:rStyle w:val="david-h1"/>
          <w:rtl w:val="true"/>
        </w:rPr>
        <w:t xml:space="preserve">] </w:t>
      </w:r>
      <w:r>
        <w:rPr>
          <w:rStyle w:val="david-h1"/>
          <w:rtl w:val="true"/>
        </w:rPr>
        <w:t>ניתן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ביום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</w:rPr>
        <w:t>21.5.08</w:t>
      </w:r>
      <w:r>
        <w:rPr>
          <w:rStyle w:val="david-h1"/>
          <w:rtl w:val="true"/>
        </w:rPr>
        <w:t xml:space="preserve">). </w:t>
      </w:r>
      <w:r>
        <w:rPr>
          <w:rStyle w:val="david-h1"/>
          <w:rtl w:val="true"/>
        </w:rPr>
        <w:t>יש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להקפיד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שמא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הענקת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משקל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רב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לסולחה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על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פני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שיקולים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אחרים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תיתן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בעקיפין</w:t>
      </w:r>
      <w:r>
        <w:rPr>
          <w:rStyle w:val="david-h1"/>
          <w:rtl w:val="true"/>
        </w:rPr>
        <w:t xml:space="preserve">, </w:t>
      </w:r>
      <w:r>
        <w:rPr>
          <w:rStyle w:val="david-h1"/>
          <w:rtl w:val="true"/>
        </w:rPr>
        <w:t>לגיטימציה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לאירועים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שהובילו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לצורך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בהסכם</w:t>
      </w:r>
      <w:r>
        <w:rPr>
          <w:rStyle w:val="david-h1"/>
          <w:rFonts w:cs="Times New Roman"/>
          <w:rtl w:val="true"/>
        </w:rPr>
        <w:t xml:space="preserve"> </w:t>
      </w:r>
      <w:r>
        <w:rPr>
          <w:rStyle w:val="david-h1"/>
          <w:rtl w:val="true"/>
        </w:rPr>
        <w:t>סולחה</w:t>
      </w:r>
      <w:r>
        <w:rPr>
          <w:rStyle w:val="david-h1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david-p"/>
        <w:bidi w:val="1"/>
        <w:spacing w:lineRule="auto" w:line="480"/>
        <w:ind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לאחרונה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קנתה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הסולחה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מעמד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נכבד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יותר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בשיקולי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ביהמ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לענין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העונש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אם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לגבי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המידה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יתחשב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ביהמ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בסולחה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הדעות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עדיין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חלוקות</w:t>
      </w:r>
      <w:r>
        <w:rPr>
          <w:rStyle w:val="david-h1"/>
          <w:rFonts w:cs="David"/>
          <w:rtl w:val="true"/>
        </w:rPr>
        <w:t xml:space="preserve">. </w:t>
      </w:r>
    </w:p>
    <w:p>
      <w:pPr>
        <w:pStyle w:val="david-p"/>
        <w:bidi w:val="1"/>
        <w:ind w:end="0"/>
        <w:jc w:val="both"/>
        <w:rPr>
          <w:rStyle w:val="david-h1"/>
          <w:rFonts w:cs="David"/>
        </w:rPr>
      </w:pPr>
      <w:r>
        <w:rPr>
          <w:rStyle w:val="david-h1"/>
          <w:rFonts w:cs="Times New Roman"/>
          <w:rtl w:val="true"/>
        </w:rPr>
        <w:t xml:space="preserve"> </w:t>
      </w:r>
    </w:p>
    <w:p>
      <w:pPr>
        <w:pStyle w:val="david-p"/>
        <w:bidi w:val="1"/>
        <w:ind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מכל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מקום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ברור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הסולחה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אינה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משמשת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תחליף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לדין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הפלילי</w:t>
      </w:r>
      <w:r>
        <w:rPr>
          <w:rStyle w:val="david-h1"/>
          <w:rFonts w:cs="David"/>
          <w:rtl w:val="true"/>
        </w:rPr>
        <w:t>:</w:t>
      </w:r>
    </w:p>
    <w:p>
      <w:pPr>
        <w:pStyle w:val="david-p"/>
        <w:bidi w:val="1"/>
        <w:ind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david-p"/>
        <w:tabs>
          <w:tab w:val="clear" w:pos="720"/>
          <w:tab w:val="left" w:pos="6849" w:leader="none"/>
        </w:tabs>
        <w:bidi w:val="1"/>
        <w:spacing w:lineRule="auto" w:line="480"/>
        <w:ind w:start="1179" w:end="1134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בידוע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שסולחה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עשויה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להוות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נדבך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בשיקולי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המשפט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לעונש</w:t>
      </w:r>
      <w:r>
        <w:rPr>
          <w:rStyle w:val="david-h1"/>
          <w:rFonts w:cs="David"/>
          <w:rtl w:val="true"/>
        </w:rPr>
        <w:t xml:space="preserve">; </w:t>
      </w:r>
      <w:r>
        <w:rPr>
          <w:rStyle w:val="david-h1"/>
          <w:rFonts w:cs="David"/>
          <w:rtl w:val="true"/>
        </w:rPr>
        <w:t>היא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מושרשת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בתולדות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אזורנו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ועיקרה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התגייסותם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נכבדי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עדה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לפשר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הצדדים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הניצים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בני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עדתם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ולהשיב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ביניהם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בתמורה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לפיצוי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כספי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התחייבות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כבוד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 xml:space="preserve">[...] </w:t>
      </w:r>
      <w:r>
        <w:rPr>
          <w:rStyle w:val="david-h1"/>
          <w:rFonts w:cs="David"/>
          <w:u w:val="single"/>
          <w:rtl w:val="true"/>
        </w:rPr>
        <w:t>הסולחה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אינה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עניין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של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מה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בכך</w:t>
      </w:r>
      <w:r>
        <w:rPr>
          <w:rStyle w:val="david-h1"/>
          <w:rFonts w:cs="David"/>
          <w:u w:val="single"/>
          <w:rtl w:val="true"/>
        </w:rPr>
        <w:t xml:space="preserve">, </w:t>
      </w:r>
      <w:r>
        <w:rPr>
          <w:rStyle w:val="david-h1"/>
          <w:rFonts w:cs="David"/>
          <w:u w:val="single"/>
          <w:rtl w:val="true"/>
        </w:rPr>
        <w:t>והיא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עשויה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 xml:space="preserve">- </w:t>
      </w:r>
      <w:r>
        <w:rPr>
          <w:rStyle w:val="david-h1"/>
          <w:rFonts w:cs="David"/>
          <w:u w:val="single"/>
          <w:rtl w:val="true"/>
        </w:rPr>
        <w:t>כאמור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 xml:space="preserve">- </w:t>
      </w:r>
      <w:r>
        <w:rPr>
          <w:rStyle w:val="david-h1"/>
          <w:rFonts w:cs="David"/>
          <w:u w:val="single"/>
          <w:rtl w:val="true"/>
        </w:rPr>
        <w:t>להיות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שיקול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מסוים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בגזר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הדין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בהתלוותה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להודאה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וחרטה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 xml:space="preserve">[...] </w:t>
      </w:r>
      <w:r>
        <w:rPr>
          <w:rStyle w:val="david-h1"/>
          <w:rFonts w:cs="David"/>
          <w:rtl w:val="true"/>
        </w:rPr>
        <w:t>אזכיר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כאן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מושג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קרוב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מהותית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לרעיון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'</w:t>
      </w:r>
      <w:r>
        <w:rPr>
          <w:rStyle w:val="david-h1"/>
          <w:rFonts w:cs="David"/>
          <w:rtl w:val="true"/>
        </w:rPr>
        <w:t>הצדק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המאחה</w:t>
      </w:r>
      <w:r>
        <w:rPr>
          <w:rStyle w:val="david-h1"/>
          <w:rFonts w:cs="David"/>
          <w:rtl w:val="true"/>
        </w:rPr>
        <w:t xml:space="preserve">', </w:t>
      </w:r>
      <w:r>
        <w:rPr>
          <w:rStyle w:val="david-h1"/>
          <w:rFonts w:cs="David"/>
          <w:rtl w:val="true"/>
        </w:rPr>
        <w:t>הקונה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שביתה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אם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גם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זהירה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ומוקפדת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 xml:space="preserve">[...] </w:t>
      </w:r>
      <w:r>
        <w:rPr>
          <w:rStyle w:val="david-h1"/>
          <w:rFonts w:cs="David"/>
          <w:rtl w:val="true"/>
        </w:rPr>
        <w:t>ואולם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ראוי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שהעוסקים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בעריכת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סולחה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יהיו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ערים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למצב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המשפטי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בתיקים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פליליים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בתיקים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אזרחיים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ולכך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</w:t>
      </w:r>
      <w:r>
        <w:rPr>
          <w:rStyle w:val="david-h1"/>
          <w:rFonts w:cs="David"/>
          <w:u w:val="single"/>
          <w:rtl w:val="true"/>
        </w:rPr>
        <w:t>בודאי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בתיקים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פליליים</w:t>
      </w:r>
      <w:r>
        <w:rPr>
          <w:rStyle w:val="david-h1"/>
          <w:rFonts w:cs="David"/>
          <w:u w:val="single"/>
          <w:rtl w:val="true"/>
        </w:rPr>
        <w:t xml:space="preserve">, </w:t>
      </w:r>
      <w:r>
        <w:rPr>
          <w:rStyle w:val="david-h1"/>
          <w:rFonts w:cs="David"/>
          <w:u w:val="single"/>
          <w:rtl w:val="true"/>
        </w:rPr>
        <w:t>אך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גם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בתיקים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אזרחיים</w:t>
      </w:r>
      <w:r>
        <w:rPr>
          <w:rStyle w:val="david-h1"/>
          <w:rFonts w:cs="David"/>
          <w:u w:val="single"/>
          <w:rtl w:val="true"/>
        </w:rPr>
        <w:t xml:space="preserve">, </w:t>
      </w:r>
      <w:r>
        <w:rPr>
          <w:rStyle w:val="david-h1"/>
          <w:rFonts w:cs="David"/>
          <w:u w:val="single"/>
          <w:rtl w:val="true"/>
        </w:rPr>
        <w:t>אין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הסולחה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מהוה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תחליף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להליך</w:t>
      </w:r>
      <w:r>
        <w:rPr>
          <w:rStyle w:val="david-h1"/>
          <w:u w:val="single"/>
          <w:rtl w:val="true"/>
        </w:rPr>
        <w:t xml:space="preserve"> </w:t>
      </w:r>
      <w:r>
        <w:rPr>
          <w:rStyle w:val="david-h1"/>
          <w:rFonts w:cs="David"/>
          <w:u w:val="single"/>
          <w:rtl w:val="true"/>
        </w:rPr>
        <w:t>השיפוטי</w:t>
      </w:r>
      <w:r>
        <w:rPr>
          <w:rStyle w:val="david-h1"/>
          <w:rFonts w:cs="David"/>
          <w:rtl w:val="true"/>
        </w:rPr>
        <w:t xml:space="preserve">; </w:t>
      </w:r>
      <w:r>
        <w:rPr>
          <w:rStyle w:val="david-h1"/>
          <w:rFonts w:cs="David"/>
          <w:rtl w:val="true"/>
        </w:rPr>
        <w:t>בתחום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הפלילי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 xml:space="preserve">- </w:t>
      </w:r>
      <w:r>
        <w:rPr>
          <w:rStyle w:val="david-h1"/>
          <w:rFonts w:cs="David"/>
          <w:rtl w:val="true"/>
        </w:rPr>
        <w:t>ככל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שמערכת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האכיפה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תידרש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לנושא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(</w:t>
      </w:r>
      <w:r>
        <w:rPr>
          <w:rStyle w:val="david-h1"/>
          <w:rFonts w:cs="David"/>
          <w:rtl w:val="true"/>
        </w:rPr>
        <w:t>אף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יכולה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התביעה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ויכולים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גם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בתי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המשפט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להביא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בחשבון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כנסיבות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מקילות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עריכתה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סולחה</w:t>
      </w:r>
      <w:r>
        <w:rPr>
          <w:rStyle w:val="david-h1"/>
          <w:rFonts w:cs="David"/>
          <w:rtl w:val="true"/>
        </w:rPr>
        <w:t xml:space="preserve">"), </w:t>
      </w:r>
      <w:r>
        <w:rPr>
          <w:rStyle w:val="david-h1"/>
          <w:rFonts w:cs="David"/>
          <w:rtl w:val="true"/>
        </w:rPr>
        <w:t>אין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הסולחה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יכולה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להחליף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הדין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הפלילי</w:t>
      </w:r>
      <w:r>
        <w:rPr>
          <w:rStyle w:val="david-h1"/>
          <w:rFonts w:cs="David"/>
          <w:rtl w:val="true"/>
        </w:rPr>
        <w:t>." (</w:t>
      </w:r>
      <w:r>
        <w:rPr>
          <w:rStyle w:val="david-h1"/>
          <w:rFonts w:cs="David"/>
          <w:rtl w:val="true"/>
        </w:rPr>
        <w:t>דברי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כב</w:t>
      </w:r>
      <w:r>
        <w:rPr>
          <w:rStyle w:val="david-h1"/>
          <w:rFonts w:cs="David"/>
          <w:rtl w:val="true"/>
        </w:rPr>
        <w:t xml:space="preserve">' </w:t>
      </w:r>
      <w:r>
        <w:rPr>
          <w:rStyle w:val="david-h1"/>
          <w:rFonts w:cs="David"/>
          <w:rtl w:val="true"/>
        </w:rPr>
        <w:t>הש</w:t>
      </w:r>
      <w:r>
        <w:rPr>
          <w:rStyle w:val="david-h1"/>
          <w:rFonts w:cs="David"/>
          <w:rtl w:val="true"/>
        </w:rPr>
        <w:t xml:space="preserve">' </w:t>
      </w:r>
      <w:r>
        <w:rPr>
          <w:rStyle w:val="david-h1"/>
          <w:rFonts w:cs="David"/>
          <w:rtl w:val="true"/>
        </w:rPr>
        <w:t>רובינשטיין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</w:t>
      </w:r>
      <w:hyperlink r:id="rId24">
        <w:r>
          <w:rPr>
            <w:rStyle w:val="Hyperlink"/>
            <w:rFonts w:cs="David"/>
            <w:sz w:val="24"/>
            <w:sz w:val="24"/>
            <w:szCs w:val="24"/>
            <w:rtl w:val="true"/>
          </w:rPr>
          <w:t>בש</w:t>
        </w:r>
        <w:r>
          <w:rPr>
            <w:rStyle w:val="Hyperlink"/>
            <w:rFonts w:cs="David"/>
            <w:sz w:val="24"/>
            <w:szCs w:val="24"/>
            <w:rtl w:val="true"/>
          </w:rPr>
          <w:t>"</w:t>
        </w:r>
        <w:r>
          <w:rPr>
            <w:rStyle w:val="Hyperlink"/>
            <w:rFonts w:cs="David"/>
            <w:sz w:val="24"/>
            <w:sz w:val="24"/>
            <w:szCs w:val="24"/>
            <w:rtl w:val="true"/>
          </w:rPr>
          <w:t>פ</w:t>
        </w:r>
        <w:r>
          <w:rPr>
            <w:rStyle w:val="Hyperlink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/>
            <w:sz w:val="24"/>
            <w:szCs w:val="24"/>
          </w:rPr>
          <w:t>590/08</w:t>
        </w:r>
      </w:hyperlink>
      <w:r>
        <w:rPr>
          <w:rStyle w:val="david-h1"/>
          <w:rFonts w:cs="David"/>
          <w:rtl w:val="true"/>
        </w:rPr>
        <w:t xml:space="preserve"> </w:t>
      </w:r>
      <w:r>
        <w:rPr>
          <w:rStyle w:val="david-h1"/>
          <w:rFonts w:cs="David"/>
          <w:b/>
          <w:b/>
          <w:bCs/>
          <w:u w:val="single"/>
          <w:rtl w:val="true"/>
        </w:rPr>
        <w:t>מדינת</w:t>
      </w:r>
      <w:r>
        <w:rPr>
          <w:rStyle w:val="david-h1"/>
          <w:b/>
          <w:b/>
          <w:bCs/>
          <w:u w:val="single"/>
          <w:rtl w:val="true"/>
        </w:rPr>
        <w:t xml:space="preserve"> </w:t>
      </w:r>
      <w:r>
        <w:rPr>
          <w:rStyle w:val="david-h1"/>
          <w:rFonts w:cs="David"/>
          <w:b/>
          <w:b/>
          <w:bCs/>
          <w:u w:val="single"/>
          <w:rtl w:val="true"/>
        </w:rPr>
        <w:t>ישראל</w:t>
      </w:r>
      <w:r>
        <w:rPr>
          <w:rStyle w:val="david-h1"/>
          <w:b/>
          <w:b/>
          <w:bCs/>
          <w:u w:val="single"/>
          <w:rtl w:val="true"/>
        </w:rPr>
        <w:t xml:space="preserve"> </w:t>
      </w:r>
      <w:r>
        <w:rPr>
          <w:rStyle w:val="david-h1"/>
          <w:rFonts w:cs="David"/>
          <w:b/>
          <w:b/>
          <w:bCs/>
          <w:u w:val="single"/>
          <w:rtl w:val="true"/>
        </w:rPr>
        <w:t>נ</w:t>
      </w:r>
      <w:r>
        <w:rPr>
          <w:rStyle w:val="david-h1"/>
          <w:rFonts w:cs="David"/>
          <w:b/>
          <w:bCs/>
          <w:u w:val="single"/>
          <w:rtl w:val="true"/>
        </w:rPr>
        <w:t xml:space="preserve">' </w:t>
      </w:r>
      <w:r>
        <w:rPr>
          <w:rStyle w:val="david-h1"/>
          <w:rFonts w:cs="David"/>
          <w:b/>
          <w:b/>
          <w:bCs/>
          <w:u w:val="single"/>
          <w:rtl w:val="true"/>
        </w:rPr>
        <w:t>שריף</w:t>
      </w:r>
      <w:r>
        <w:rPr>
          <w:rStyle w:val="david-h1"/>
          <w:b/>
          <w:b/>
          <w:bCs/>
          <w:u w:val="single"/>
          <w:rtl w:val="true"/>
        </w:rPr>
        <w:t xml:space="preserve"> </w:t>
      </w:r>
      <w:r>
        <w:rPr>
          <w:rStyle w:val="david-h1"/>
          <w:rFonts w:cs="David"/>
          <w:b/>
          <w:b/>
          <w:bCs/>
          <w:u w:val="single"/>
          <w:rtl w:val="true"/>
        </w:rPr>
        <w:t>מריסאת</w:t>
      </w:r>
      <w:r>
        <w:rPr>
          <w:rStyle w:val="david-h1"/>
          <w:b/>
          <w:b/>
          <w:bCs/>
          <w:u w:val="single"/>
          <w:rtl w:val="true"/>
        </w:rPr>
        <w:t xml:space="preserve"> </w:t>
      </w:r>
      <w:r>
        <w:rPr>
          <w:rStyle w:val="david-h1"/>
          <w:rFonts w:cs="David"/>
          <w:b/>
          <w:b/>
          <w:bCs/>
          <w:u w:val="single"/>
          <w:rtl w:val="true"/>
        </w:rPr>
        <w:t>ואח</w:t>
      </w:r>
      <w:r>
        <w:rPr>
          <w:rStyle w:val="david-h1"/>
          <w:rFonts w:cs="David"/>
          <w:b/>
          <w:bCs/>
          <w:u w:val="single"/>
          <w:rtl w:val="true"/>
        </w:rPr>
        <w:t>'</w:t>
      </w:r>
      <w:r>
        <w:rPr>
          <w:rStyle w:val="david-h1"/>
          <w:rFonts w:cs="David"/>
          <w:rtl w:val="true"/>
        </w:rPr>
        <w:t xml:space="preserve"> [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פורסם</w:t>
      </w:r>
      <w:r>
        <w:rPr>
          <w:rStyle w:val="david-h1"/>
          <w:rFonts w:cs="David"/>
          <w:rtl w:val="true"/>
        </w:rPr>
        <w:t xml:space="preserve">]  </w:t>
      </w:r>
      <w:r>
        <w:rPr>
          <w:rStyle w:val="david-h1"/>
          <w:rFonts w:cs="David"/>
          <w:rtl w:val="true"/>
        </w:rPr>
        <w:t>ניתן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ביום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</w:rPr>
        <w:t>21.1.08</w:t>
      </w:r>
      <w:r>
        <w:rPr>
          <w:rStyle w:val="david-h1"/>
          <w:rFonts w:cs="David"/>
          <w:rtl w:val="true"/>
        </w:rPr>
        <w:t>).</w:t>
      </w:r>
    </w:p>
    <w:p>
      <w:pPr>
        <w:pStyle w:val="david-p"/>
        <w:bidi w:val="1"/>
        <w:ind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david-p"/>
        <w:bidi w:val="1"/>
        <w:spacing w:lineRule="auto" w:line="480"/>
        <w:ind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במקרה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הוברר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כלל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נערך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הסכם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סולחה</w:t>
      </w:r>
      <w:r>
        <w:rPr>
          <w:rStyle w:val="david-h1"/>
          <w:rFonts w:cs="David"/>
          <w:rtl w:val="true"/>
        </w:rPr>
        <w:t xml:space="preserve">". </w:t>
      </w:r>
      <w:r>
        <w:rPr>
          <w:rStyle w:val="david-h1"/>
          <w:rFonts w:cs="David"/>
          <w:rtl w:val="true"/>
        </w:rPr>
        <w:t>מטיעוניהם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כ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המאשימה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והסנגור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וכן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מעדותו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אבי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הוברר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משפחת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הנאשם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פנתה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בעל</w:t>
      </w:r>
      <w:r>
        <w:rPr>
          <w:rStyle w:val="david-h1"/>
          <w:rFonts w:cs="David"/>
          <w:rtl w:val="true"/>
        </w:rPr>
        <w:t>-</w:t>
      </w:r>
      <w:r>
        <w:rPr>
          <w:rStyle w:val="david-h1"/>
          <w:rFonts w:cs="David"/>
          <w:rtl w:val="true"/>
        </w:rPr>
        <w:t>פה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למשפחת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המתלוננת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וביקשה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סליחתם</w:t>
      </w:r>
      <w:r>
        <w:rPr>
          <w:rStyle w:val="david-h1"/>
          <w:rFonts w:cs="David"/>
          <w:rtl w:val="true"/>
        </w:rPr>
        <w:t xml:space="preserve">. </w:t>
      </w:r>
      <w:r>
        <w:rPr>
          <w:rStyle w:val="david-h1"/>
          <w:rFonts w:cs="David"/>
          <w:rtl w:val="true"/>
        </w:rPr>
        <w:t>פרט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לכך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נכרת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הסכם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הצדדים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ולא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שולם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פיצוי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לטובת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המתלוננת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(</w:t>
      </w:r>
      <w:r>
        <w:rPr>
          <w:rStyle w:val="david-h1"/>
          <w:rFonts w:cs="David"/>
          <w:rtl w:val="true"/>
        </w:rPr>
        <w:t>אם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לטענת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האב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הוצע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על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ידם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פיצוי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ומשפחת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המתלוננת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סירבה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לקבלו</w:t>
      </w:r>
      <w:r>
        <w:rPr>
          <w:rStyle w:val="david-h1"/>
          <w:rFonts w:cs="David"/>
          <w:rtl w:val="true"/>
        </w:rPr>
        <w:t xml:space="preserve">). </w:t>
      </w:r>
    </w:p>
    <w:p>
      <w:pPr>
        <w:pStyle w:val="david-p"/>
        <w:bidi w:val="1"/>
        <w:spacing w:lineRule="auto" w:line="480"/>
        <w:ind w:end="0"/>
        <w:jc w:val="both"/>
        <w:rPr>
          <w:rStyle w:val="david-h1"/>
          <w:rFonts w:cs="David"/>
        </w:rPr>
      </w:pPr>
      <w:r>
        <w:rPr>
          <w:rStyle w:val="david-h1"/>
          <w:rFonts w:cs="David"/>
          <w:rtl w:val="true"/>
        </w:rPr>
        <w:t>מבחינה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זו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אין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מדובר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אפוא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בהסכם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סולחה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אולם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שוכנעתי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מדברי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האב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כי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המשפחה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ביקשה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סליחת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המתלוננת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ומשפחתה</w:t>
      </w:r>
      <w:r>
        <w:rPr>
          <w:rStyle w:val="david-h1"/>
          <w:rFonts w:cs="David"/>
          <w:rtl w:val="true"/>
        </w:rPr>
        <w:t xml:space="preserve">, </w:t>
      </w:r>
      <w:r>
        <w:rPr>
          <w:rStyle w:val="david-h1"/>
          <w:rFonts w:cs="David"/>
          <w:rtl w:val="true"/>
        </w:rPr>
        <w:t>בקשה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שנענתה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בחיוב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ויש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בכך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גורם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מקל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המחזק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את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התקווה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להפסקת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מעשי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האיבה</w:t>
      </w:r>
      <w:r>
        <w:rPr>
          <w:rStyle w:val="david-h1"/>
          <w:rFonts w:cs="David"/>
          <w:rtl w:val="true"/>
        </w:rPr>
        <w:t xml:space="preserve">" </w:t>
      </w:r>
      <w:r>
        <w:rPr>
          <w:rStyle w:val="david-h1"/>
          <w:rFonts w:cs="David"/>
          <w:rtl w:val="true"/>
        </w:rPr>
        <w:t>וגם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נסיבה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"</w:t>
      </w:r>
      <w:r>
        <w:rPr>
          <w:rStyle w:val="david-h1"/>
          <w:rFonts w:cs="David"/>
          <w:rtl w:val="true"/>
        </w:rPr>
        <w:t>לאו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מילתא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זוטרתא</w:t>
      </w:r>
      <w:r>
        <w:rPr>
          <w:rStyle w:val="david-h1"/>
          <w:rtl w:val="true"/>
        </w:rPr>
        <w:t xml:space="preserve"> </w:t>
      </w:r>
      <w:r>
        <w:rPr>
          <w:rStyle w:val="david-h1"/>
          <w:rFonts w:cs="David"/>
          <w:rtl w:val="true"/>
        </w:rPr>
        <w:t>היא</w:t>
      </w:r>
      <w:r>
        <w:rPr>
          <w:rStyle w:val="david-h1"/>
          <w:rFonts w:cs="David"/>
          <w:rtl w:val="true"/>
        </w:rPr>
        <w:t>".</w:t>
      </w:r>
    </w:p>
    <w:p>
      <w:pPr>
        <w:pStyle w:val="david-p"/>
        <w:bidi w:val="1"/>
        <w:ind w:end="0"/>
        <w:jc w:val="both"/>
        <w:rPr>
          <w:rStyle w:val="david-h1"/>
          <w:rFonts w:cs="David"/>
        </w:rPr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rtl w:val="true"/>
        </w:rPr>
        <w:t>לאחר ששקלתי את כל השיקולים לקולא ולחומרא ואת רמת הענישה כפי שהיא באה לידי ביטוי בפסקי הדין שהוגשו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שני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ותוך התחשבות מירבית בהודאת הנאשם </w:t>
      </w:r>
      <w:r>
        <w:rPr>
          <w:rFonts w:ascii="Arial" w:hAnsi="Arial" w:cs="Arial"/>
          <w:u w:val="single"/>
          <w:rtl w:val="true"/>
        </w:rPr>
        <w:t>ובהמלצת ק</w:t>
      </w:r>
      <w:r>
        <w:rPr>
          <w:rFonts w:cs="Arial" w:ascii="Arial" w:hAnsi="Arial"/>
          <w:u w:val="single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המבחן להשית על הנאשם עונש מאסר לתקופה קצרה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ind w:end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בניכוי תקופת מעצרו של הנאשם מיום </w:t>
      </w:r>
      <w:r>
        <w:rPr>
          <w:rFonts w:cs="Arial" w:ascii="Arial" w:hAnsi="Arial"/>
        </w:rPr>
        <w:t>1.7.11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 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לבל יעבור הנאשם במשך שנתיים כל עבירת אלימות מסוג פשע או 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למעט ירי באזור מגורים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48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לבל יעבור הנאשם כל עבירת אלימות מסוג עוון או עבירות של ירי באזור מגורים או איומים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  <w:color w:val="0000FF"/>
            <w:u w:val="single"/>
          </w:rPr>
          <w:t>340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 ו </w:t>
      </w:r>
      <w:r>
        <w:rPr>
          <w:rFonts w:cs="Arial" w:ascii="Arial" w:hAnsi="Arial"/>
          <w:rtl w:val="true"/>
        </w:rPr>
        <w:t xml:space="preserve">- </w:t>
      </w:r>
      <w:hyperlink r:id="rId26"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7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על הנאשם לשלם למתלוננת פיצויים בסך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אשר ישולמו עד ליום </w:t>
      </w:r>
      <w:r>
        <w:rPr>
          <w:rFonts w:cs="Arial" w:ascii="Arial" w:hAnsi="Arial"/>
        </w:rPr>
        <w:t>1.4.12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באמצעות הפקדתם בקופת בית המשפט </w:t>
      </w:r>
      <w:r>
        <w:rPr>
          <w:rFonts w:ascii="Arial" w:hAnsi="Arial" w:cs="Arial"/>
          <w:u w:val="single"/>
          <w:rtl w:val="true"/>
        </w:rPr>
        <w:t>ובדרך זו בלבד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ולא באמצעות תשלום ישיר למתלוננת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תעביר למזכירות בית המשפט את הפרטים הנחוצים לצורך העברת הפיצוי למתלוננת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/>
        <w:t>25.1.12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392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474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  <w:lang w:val="en-IL" w:eastAsia="en-IL"/>
              </w:rPr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Cs w:val="20"/>
                <w:lang w:val="en-IL" w:eastAsia="en-IL"/>
              </w:rPr>
            </w:pPr>
            <w:r>
              <w:rPr>
                <w:b/>
                <w:bCs/>
                <w:color w:val="FF0000"/>
                <w:szCs w:val="20"/>
                <w:rtl w:val="true"/>
                <w:lang w:val="en-IL" w:eastAsia="en-IL"/>
              </w:rPr>
            </w:r>
          </w:p>
        </w:tc>
        <w:tc>
          <w:tcPr>
            <w:tcW w:w="2392" w:type="dxa"/>
            <w:tcBorders/>
          </w:tcPr>
          <w:p>
            <w:pPr>
              <w:pStyle w:val="Heading3"/>
              <w:snapToGrid w:val="false"/>
              <w:ind w:hanging="0" w:start="0" w:end="0"/>
              <w:jc w:val="center"/>
              <w:rPr>
                <w:b/>
                <w:bCs/>
                <w:color w:val="FF0000"/>
                <w:sz w:val="24"/>
                <w:szCs w:val="20"/>
                <w:lang w:val="en-IL" w:eastAsia="en-IL"/>
              </w:rPr>
            </w:pPr>
            <w:r>
              <w:rPr>
                <w:b/>
                <w:bCs/>
                <w:color w:val="FF0000"/>
                <w:sz w:val="24"/>
                <w:szCs w:val="20"/>
                <w:rtl w:val="true"/>
                <w:lang w:val="en-IL" w:eastAsia="en-IL"/>
              </w:rPr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color w:val="FF0000"/>
                <w:sz w:val="24"/>
                <w:szCs w:val="20"/>
                <w:lang w:val="en-IL" w:eastAsia="en-IL"/>
              </w:rPr>
            </w:pPr>
            <w:r>
              <w:rPr>
                <w:b/>
                <w:bCs/>
                <w:color w:val="FF0000"/>
                <w:sz w:val="24"/>
                <w:szCs w:val="20"/>
                <w:rtl w:val="true"/>
                <w:lang w:val="en-IL" w:eastAsia="en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Cs w:val="20"/>
                <w:lang w:val="en-IL" w:eastAsia="en-IL"/>
              </w:rPr>
            </w:pPr>
            <w:r>
              <w:rPr>
                <w:b/>
                <w:b/>
                <w:bCs/>
                <w:szCs w:val="20"/>
                <w:rtl w:val="true"/>
              </w:rPr>
              <w:t>מ</w:t>
            </w:r>
            <w:r>
              <w:rPr>
                <w:b/>
                <w:bCs/>
                <w:szCs w:val="20"/>
                <w:rtl w:val="true"/>
              </w:rPr>
              <w:t xml:space="preserve">. </w:t>
            </w:r>
            <w:r>
              <w:rPr>
                <w:b/>
                <w:b/>
                <w:bCs/>
                <w:szCs w:val="20"/>
                <w:rtl w:val="true"/>
              </w:rPr>
              <w:t>גלעד</w:t>
            </w:r>
            <w:r>
              <w:rPr>
                <w:b/>
                <w:bCs/>
                <w:szCs w:val="20"/>
                <w:rtl w:val="true"/>
              </w:rPr>
              <w:t xml:space="preserve">, </w:t>
            </w:r>
            <w:r>
              <w:rPr>
                <w:b/>
                <w:b/>
                <w:bCs/>
                <w:szCs w:val="20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Cs w:val="20"/>
                <w:lang w:val="en-IL" w:eastAsia="en-IL"/>
              </w:rPr>
            </w:pPr>
            <w:r>
              <w:rPr>
                <w:b/>
                <w:bCs/>
                <w:szCs w:val="20"/>
                <w:rtl w:val="true"/>
                <w:lang w:val="en-IL" w:eastAsia="en-IL"/>
              </w:rPr>
            </w:r>
          </w:p>
        </w:tc>
      </w:tr>
    </w:tbl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rFonts w:cs="FrankRuehl"/>
        </w:rPr>
      </w:pPr>
      <w:r>
        <w:rPr>
          <w:rFonts w:cs="FrankRuehl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sz w:val="16"/>
          <w:szCs w:val="16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both"/>
        <w:rPr>
          <w:sz w:val="16"/>
          <w:szCs w:val="16"/>
        </w:rPr>
      </w:pPr>
      <w:r>
        <w:rPr>
          <w:sz w:val="16"/>
          <w:sz w:val="16"/>
          <w:szCs w:val="16"/>
          <w:rtl w:val="true"/>
        </w:rPr>
        <w:t>קלדנית</w:t>
      </w:r>
      <w:r>
        <w:rPr>
          <w:sz w:val="16"/>
          <w:szCs w:val="16"/>
          <w:rtl w:val="true"/>
        </w:rPr>
        <w:t xml:space="preserve">: </w:t>
      </w:r>
      <w:r>
        <w:rPr>
          <w:sz w:val="16"/>
          <w:sz w:val="16"/>
          <w:szCs w:val="16"/>
          <w:rtl w:val="true"/>
        </w:rPr>
        <w:t>ליאת</w:t>
      </w:r>
      <w:r>
        <w:rPr>
          <w:rFonts w:cs="Times New Roman"/>
          <w:sz w:val="16"/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>פ</w:t>
      </w:r>
      <w:r>
        <w:rPr>
          <w:sz w:val="16"/>
          <w:szCs w:val="16"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26763-07-11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קאסם אסדי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jc w:val="both"/>
      <w:outlineLvl w:val="2"/>
    </w:pPr>
    <w:rPr>
      <w:b/>
      <w:bCs/>
      <w:sz w:val="20"/>
      <w:lang w:val="en-IL" w:eastAsia="en-IL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david-h1">
    <w:name w:val="david-h1"/>
    <w:qFormat/>
    <w:rPr>
      <w:rFonts w:ascii="Times New Roman" w:hAnsi="Times New Roman" w:cs="Times New Roman"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שמות"/>
    <w:basedOn w:val="Normal"/>
    <w:qFormat/>
    <w:pPr>
      <w:suppressLineNumbers/>
      <w:snapToGrid w:val="false"/>
      <w:spacing w:lineRule="auto" w:line="360"/>
      <w:jc w:val="both"/>
    </w:pPr>
    <w:rPr>
      <w:b/>
      <w:bCs/>
      <w:sz w:val="22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david-p">
    <w:name w:val="david-p"/>
    <w:basedOn w:val="Normal"/>
    <w:qFormat/>
    <w:pPr>
      <w:bidi w:val="0"/>
      <w:jc w:val="both"/>
    </w:pPr>
    <w:rPr>
      <w:rFonts w:cs="Times New Roman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413e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13e" TargetMode="External"/><Relationship Id="rId17" Type="http://schemas.openxmlformats.org/officeDocument/2006/relationships/hyperlink" Target="http://www.nevo.co.il/case/5852404" TargetMode="External"/><Relationship Id="rId18" Type="http://schemas.openxmlformats.org/officeDocument/2006/relationships/hyperlink" Target="http://www.nevo.co.il/case/6072945" TargetMode="External"/><Relationship Id="rId19" Type="http://schemas.openxmlformats.org/officeDocument/2006/relationships/hyperlink" Target="http://www.nevo.co.il/case/6118595" TargetMode="External"/><Relationship Id="rId20" Type="http://schemas.openxmlformats.org/officeDocument/2006/relationships/hyperlink" Target="http://www.nevo.co.il/case/5852404" TargetMode="External"/><Relationship Id="rId21" Type="http://schemas.openxmlformats.org/officeDocument/2006/relationships/hyperlink" Target="http://www.nevo.co.il/case/6030667" TargetMode="External"/><Relationship Id="rId22" Type="http://schemas.openxmlformats.org/officeDocument/2006/relationships/hyperlink" Target="http://www.nevo.co.il/case/5993616" TargetMode="External"/><Relationship Id="rId23" Type="http://schemas.openxmlformats.org/officeDocument/2006/relationships/hyperlink" Target="http://www.nevo.co.il/case/17941073" TargetMode="External"/><Relationship Id="rId24" Type="http://schemas.openxmlformats.org/officeDocument/2006/relationships/hyperlink" Target="http://www.nevo.co.il/case/5712035" TargetMode="External"/><Relationship Id="rId25" Type="http://schemas.openxmlformats.org/officeDocument/2006/relationships/hyperlink" Target="http://www.nevo.co.il/law/70301/340a" TargetMode="External"/><Relationship Id="rId26" Type="http://schemas.openxmlformats.org/officeDocument/2006/relationships/hyperlink" Target="http://www.nevo.co.il/law/70301/19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2016-03-14T10:49:00Z</dcterms:created>
  <dc:creator> </dc:creator>
  <dc:description/>
  <cp:keywords/>
  <dc:language>en-IL</dc:language>
  <cp:lastModifiedBy>hofit</cp:lastModifiedBy>
  <dcterms:modified xsi:type="dcterms:W3CDTF">2016-03-14T10:49:00Z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קאסם אסדי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5852404:2;6072945;6118595;6030667;5993616;17941073;5712035</vt:lpwstr>
  </property>
  <property fmtid="{D5CDD505-2E9C-101B-9397-08002B2CF9AE}" pid="9" name="CITY">
    <vt:lpwstr>חי'</vt:lpwstr>
  </property>
  <property fmtid="{D5CDD505-2E9C-101B-9397-08002B2CF9AE}" pid="10" name="DATE">
    <vt:lpwstr>20120125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מ' גלעד</vt:lpwstr>
  </property>
  <property fmtid="{D5CDD505-2E9C-101B-9397-08002B2CF9AE}" pid="14" name="LAWLISTTMP1">
    <vt:lpwstr>70301/144.b;192:2;340a:2;144.a;413e</vt:lpwstr>
  </property>
  <property fmtid="{D5CDD505-2E9C-101B-9397-08002B2CF9AE}" pid="15" name="LAWYER">
    <vt:lpwstr>מ. חזן דהן;ע. סנאללה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26763</vt:lpwstr>
  </property>
  <property fmtid="{D5CDD505-2E9C-101B-9397-08002B2CF9AE}" pid="22" name="NEWPARTB">
    <vt:lpwstr>07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390020120125</vt:lpwstr>
  </property>
  <property fmtid="{D5CDD505-2E9C-101B-9397-08002B2CF9AE}" pid="34" name="TYPE_N_DATE">
    <vt:lpwstr>39020120125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