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26801-10-19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זרח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2020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color w:val="000080"/>
          <w:sz w:val="6"/>
          <w:szCs w:val="6"/>
        </w:rPr>
      </w:pPr>
      <w:r>
        <w:rPr>
          <w:rFonts w:cs="Calibri" w:ascii="Calibri" w:hAnsi="Calibri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איתי ברסלר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גונן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Lawyer"/>
            <w:bookmarkStart w:id="3" w:name="FirstAppellant"/>
            <w:bookmarkEnd w:id="1"/>
            <w:bookmarkEnd w:id="2"/>
            <w:bookmarkEnd w:id="3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רומן זילברמן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חיים יוגב זרח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) -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אבישי הלל</w:t>
            </w:r>
          </w:p>
        </w:tc>
      </w:tr>
    </w:tbl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sz w:val="6"/>
          <w:szCs w:val="6"/>
        </w:rPr>
      </w:pPr>
      <w:r>
        <w:rPr>
          <w:rFonts w:cs="Calibri" w:ascii="Calibri" w:hAnsi="Calibri"/>
          <w:b/>
          <w:bCs/>
          <w:sz w:val="6"/>
          <w:szCs w:val="6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sz w:val="6"/>
          <w:szCs w:val="6"/>
        </w:rPr>
      </w:pPr>
      <w:r>
        <w:rPr>
          <w:rFonts w:cs="Calibri" w:ascii="Calibri" w:hAnsi="Calibri"/>
          <w:b/>
          <w:bCs/>
          <w:sz w:val="6"/>
          <w:szCs w:val="6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sz w:val="6"/>
          <w:szCs w:val="6"/>
        </w:rPr>
      </w:pPr>
      <w:r>
        <w:rPr>
          <w:rFonts w:cs="Calibri" w:ascii="Calibri" w:hAnsi="Calibri"/>
          <w:b/>
          <w:bCs/>
          <w:sz w:val="6"/>
          <w:szCs w:val="6"/>
          <w:rtl w:val="true"/>
        </w:rPr>
        <w:t>&lt;</w:t>
      </w:r>
      <w:r>
        <w:rPr>
          <w:rFonts w:cs="Calibri" w:ascii="Calibri" w:hAnsi="Calibri"/>
          <w:b/>
          <w:bCs/>
          <w:sz w:val="6"/>
          <w:szCs w:val="6"/>
        </w:rPr>
        <w:t>#4#</w:t>
      </w:r>
      <w:r>
        <w:rPr>
          <w:rFonts w:cs="Calibri" w:ascii="Calibri" w:hAnsi="Calibri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52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</w:rPr>
          <w:t>58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244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 w:before="60" w:after="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bookmarkStart w:id="8" w:name="PsakDin"/>
      <w:bookmarkEnd w:id="8"/>
      <w:r>
        <w:rPr>
          <w:rFonts w:ascii="Calibri" w:hAnsi="Calibri" w:cs="Calibri"/>
          <w:b/>
          <w:b/>
          <w:bCs/>
          <w:u w:val="single"/>
          <w:rtl w:val="true"/>
        </w:rPr>
        <w:t>ההרשעה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המקרה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/>
            <w:color w:val="0000FF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David" w:ascii="Calibri" w:hAnsi="Calibri"/>
            <w:color w:val="0000FF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8">
        <w:r>
          <w:rPr>
            <w:rStyle w:val="Hyperlink"/>
            <w:rFonts w:cs="David" w:ascii="Calibri" w:hAnsi="Calibri"/>
            <w:color w:val="0000FF"/>
          </w:rPr>
          <w:t>244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bookmarkStart w:id="10" w:name="ABSTRACT_END"/>
      <w:bookmarkEnd w:id="10"/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3.10.2019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21:25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הנוחיות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טואלט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ניקוי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7.5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בוכים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בהתנהגותו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4.10.2019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12:50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תשאול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להפחידה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14.10.2019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תגידי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כלום</w:t>
      </w:r>
      <w:r>
        <w:rPr>
          <w:rFonts w:cs="Calibri" w:ascii="Calibri" w:hAnsi="Calibri"/>
          <w:rtl w:val="true"/>
        </w:rPr>
        <w:t xml:space="preserve">.."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תמצית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 w:before="60" w:after="0"/>
        <w:ind w:hanging="340" w:start="34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צנעת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באלכוהול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הסכמתה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וכעסו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הפוגענית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חוששת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יכולותיו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וסגירותו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המכשילים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וההתמכרותיים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עדותה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המתלוננת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ודואג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ומתגעגעים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צנעת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התביעה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]; </w:t>
      </w:r>
      <w:r>
        <w:rPr>
          <w:rFonts w:ascii="Calibri" w:hAnsi="Calibri" w:cs="Calibri"/>
          <w:rtl w:val="true"/>
        </w:rPr>
        <w:t>פרוטוקול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31315-04-18</w:t>
        </w:r>
      </w:hyperlink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]; </w:t>
      </w:r>
      <w:r>
        <w:rPr>
          <w:rFonts w:ascii="Calibri" w:hAnsi="Calibri" w:cs="Calibri"/>
          <w:rtl w:val="true"/>
        </w:rPr>
        <w:t>ודיסק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].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השבח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תסמונת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ופוגענית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הפוגענית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מהדינמיקה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ופחדה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התביעה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ממעסיקו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והפנה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חוששת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שמצנעת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שנטענו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ולטענת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אפיזודה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!].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והתרשמותו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60" w:after="0"/>
        <w:ind w:hanging="340" w:start="340" w:end="0"/>
        <w:jc w:val="both"/>
        <w:rPr>
          <w:rFonts w:ascii="Calibri" w:hAnsi="Calibri" w:cs="Calibri"/>
          <w:u w:val="single"/>
        </w:rPr>
      </w:pPr>
      <w:r>
        <w:rPr>
          <w:rtl w:val="true"/>
        </w:rPr>
        <w:t>הנאשם פנה לבית המשפט</w:t>
      </w:r>
      <w:r>
        <w:rPr>
          <w:rtl w:val="true"/>
        </w:rPr>
        <w:t xml:space="preserve">, </w:t>
      </w:r>
      <w:r>
        <w:rPr>
          <w:rtl w:val="true"/>
        </w:rPr>
        <w:t>ואמר כי יש לו משפחה שדואגת ואוהבת אותו וילדים שהוא אוהב אותם מאוד</w:t>
      </w:r>
      <w:r>
        <w:rPr>
          <w:rtl w:val="true"/>
        </w:rPr>
        <w:t xml:space="preserve">. </w:t>
      </w:r>
      <w:r>
        <w:rPr>
          <w:rtl w:val="true"/>
        </w:rPr>
        <w:t>עוד אמר כי הוא מבין את הטעות</w:t>
      </w:r>
      <w:r>
        <w:rPr>
          <w:rtl w:val="true"/>
        </w:rPr>
        <w:t xml:space="preserve">, </w:t>
      </w:r>
      <w:r>
        <w:rPr>
          <w:rtl w:val="true"/>
        </w:rPr>
        <w:t>מביע חרטה ומתנצל וזה לא ישוב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לא מכחיש את העבירות והתייחס בפי שירות המבחן לכתב האישום המקורי ולא לכתב האישום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הדיון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tl w:val="true"/>
        </w:rPr>
        <w:t>בגזירת הדין יש להבטיח קיומו של יחס הולם בין חומרת מעשה העבירה בנסיבותיה ומידת אשמו של הנאשם</w:t>
      </w:r>
      <w:r>
        <w:rPr>
          <w:rtl w:val="true"/>
        </w:rPr>
        <w:t xml:space="preserve">, </w:t>
      </w:r>
      <w:r>
        <w:rPr>
          <w:rtl w:val="true"/>
        </w:rPr>
        <w:t>ובין סוג ומידת העונש המוטל על הנאשם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השיבוש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לאירוע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כולו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מצפונה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בחירותיה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השוו</w:t>
      </w:r>
      <w:r>
        <w:rPr>
          <w:rFonts w:cs="Calibri" w:ascii="Calibri" w:hAnsi="Calibri"/>
          <w:rtl w:val="true"/>
        </w:rPr>
        <w:t xml:space="preserve">: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103/88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ליכטמן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מג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373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378</w:t>
      </w:r>
      <w:r>
        <w:rPr>
          <w:rFonts w:cs="Calibri" w:ascii="Calibri" w:hAnsi="Calibri"/>
          <w:rtl w:val="true"/>
        </w:rPr>
        <w:t xml:space="preserve">].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6420/10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סלסנר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23.8.2011</w:t>
      </w:r>
      <w:r>
        <w:rPr>
          <w:rFonts w:cs="Calibri" w:ascii="Calibri" w:hAnsi="Calibri"/>
          <w:rtl w:val="true"/>
        </w:rPr>
        <w:t xml:space="preserve">);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8188/09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25.10.2009</w:t>
      </w:r>
      <w:r>
        <w:rPr>
          <w:rFonts w:cs="Calibri" w:ascii="Calibri" w:hAnsi="Calibri"/>
          <w:rtl w:val="true"/>
        </w:rPr>
        <w:t xml:space="preserve">)], </w:t>
      </w:r>
      <w:r>
        <w:rPr>
          <w:rFonts w:ascii="Calibri" w:hAnsi="Calibri" w:cs="Calibri"/>
          <w:rtl w:val="true"/>
        </w:rPr>
        <w:t>וכשהם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אהבה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השוו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6758/07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11.10.2007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מעצימה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והציבורית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והשוו</w:t>
      </w:r>
      <w:r>
        <w:rPr>
          <w:rFonts w:cs="Calibri" w:ascii="Calibri" w:hAnsi="Calibri"/>
          <w:rtl w:val="true"/>
        </w:rPr>
        <w:t xml:space="preserve">: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792/10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14.2.2011</w:t>
      </w:r>
      <w:r>
        <w:rPr>
          <w:rFonts w:cs="Calibri" w:ascii="Calibri" w:hAnsi="Calibri"/>
          <w:rtl w:val="true"/>
        </w:rPr>
        <w:t xml:space="preserve">);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6539/17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15.3.2018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להכשיל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ומגדילים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7153/99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29.8.2001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לעניינינו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before="120" w:after="240"/>
        <w:ind w:start="1418" w:end="567"/>
        <w:jc w:val="both"/>
        <w:rPr/>
      </w:pPr>
      <w:r>
        <w:rPr>
          <w:rFonts w:cs="Narkisim" w:ascii="Narkisim" w:hAnsi="Narkisim"/>
          <w:b/>
          <w:bCs/>
          <w:rtl w:val="true"/>
        </w:rPr>
        <w:t>"</w:t>
      </w:r>
      <w:r>
        <w:rPr>
          <w:rFonts w:ascii="Narkisim" w:hAnsi="Narkisim" w:cs="Narkisim"/>
          <w:b/>
          <w:b/>
          <w:bCs/>
          <w:rtl w:val="true"/>
        </w:rPr>
        <w:t>שידול של אחר שלא למסור הודעה בחקירה או למסור הודעת שקר או לחזור מהודעה שכבר נמסרה מהווה התנהגות אנטי</w:t>
      </w:r>
      <w:r>
        <w:rPr>
          <w:rFonts w:cs="Narkisim" w:ascii="Narkisim" w:hAnsi="Narkisim"/>
          <w:b/>
          <w:bCs/>
          <w:position w:val="4"/>
          <w:rtl w:val="true"/>
        </w:rPr>
        <w:t>-</w:t>
      </w:r>
      <w:r>
        <w:rPr>
          <w:rFonts w:ascii="Narkisim" w:hAnsi="Narkisim" w:cs="Narkisim"/>
          <w:b/>
          <w:b/>
          <w:bCs/>
          <w:rtl w:val="true"/>
        </w:rPr>
        <w:t>חברתית המסכנת את תהליך עשיית המשפט וגילוי האמת עד כי המחוקק ראה ליצור עבירה מיוחדת בגין כך</w:t>
      </w:r>
      <w:r>
        <w:rPr>
          <w:rFonts w:cs="Narkisim" w:ascii="Narkisim" w:hAnsi="Narkisim"/>
          <w:b/>
          <w:bCs/>
          <w:rtl w:val="true"/>
        </w:rPr>
        <w:t>."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לעצמת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הפגיעה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בערכים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רצונותיה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והשפעתו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נדרשו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מהשפעתו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שיודע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סופגת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פיסית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מפוחדת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חוששת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השוו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2047/07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14.5.2007</w:t>
      </w:r>
      <w:r>
        <w:rPr>
          <w:rFonts w:cs="Calibri" w:ascii="Calibri" w:hAnsi="Calibri"/>
          <w:rtl w:val="true"/>
        </w:rPr>
        <w:t xml:space="preserve">);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7484/08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פלוני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סג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305</w:t>
      </w:r>
      <w:r>
        <w:rPr>
          <w:rFonts w:cs="Calibri" w:ascii="Calibri" w:hAnsi="Calibri"/>
          <w:rtl w:val="true"/>
        </w:rPr>
        <w:t xml:space="preserve">]. 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בינונית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המאיימת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ביתה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מבצרה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ונחישותו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השרירותית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והמאיימת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עכבות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86"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להתדרדר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ופוחתת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86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במכלול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הנסיבות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סבורני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6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למדיניות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וקונקרטיים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86" w:end="0"/>
        <w:jc w:val="both"/>
        <w:rPr/>
      </w:pP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4719/13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צוקרן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20.8.2013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לוד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30868-08-13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אג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6.10.2013</w:t>
      </w:r>
      <w:r>
        <w:rPr>
          <w:rFonts w:cs="Calibri" w:ascii="Calibri" w:hAnsi="Calibri"/>
          <w:rtl w:val="true"/>
        </w:rPr>
        <w:t xml:space="preserve">); </w:t>
      </w:r>
      <w:r>
        <w:rPr>
          <w:b/>
          <w:b/>
          <w:bCs/>
          <w:rtl w:val="true"/>
        </w:rPr>
        <w:t>טמוזרטי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6.1.2016</w:t>
      </w:r>
      <w:r>
        <w:rPr>
          <w:rtl w:val="true"/>
        </w:rPr>
        <w:t xml:space="preserve">);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33154-05-14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יוסופוב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26.6.2014</w:t>
      </w:r>
      <w:r>
        <w:rPr>
          <w:rFonts w:cs="Calibri" w:ascii="Calibri" w:hAnsi="Calibri"/>
          <w:rtl w:val="true"/>
        </w:rPr>
        <w:t xml:space="preserve">);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9911-08-12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לוין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6.6.2013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ליברכט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4.2.2014</w:t>
      </w:r>
      <w:r>
        <w:rPr>
          <w:rFonts w:cs="Calibri" w:ascii="Calibri" w:hAnsi="Calibri"/>
          <w:rtl w:val="true"/>
        </w:rPr>
        <w:t xml:space="preserve">);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12655-11-14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29.12.2015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ובמחוזנו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21286-07-18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בכר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6.2.2019</w:t>
      </w:r>
      <w:r>
        <w:rPr>
          <w:rtl w:val="true"/>
        </w:rPr>
        <w:t xml:space="preserve">);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22716-04-14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שאטו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6.10.2016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26652-05-16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10.1.2017</w:t>
      </w:r>
      <w:r>
        <w:rPr>
          <w:rFonts w:cs="Calibri" w:ascii="Calibri" w:hAnsi="Calibri"/>
          <w:rtl w:val="true"/>
        </w:rPr>
        <w:t xml:space="preserve">);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43731-07-16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22.2.2017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23715-07-16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29.9.2016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60" w:after="0"/>
        <w:ind w:start="386" w:end="0"/>
        <w:jc w:val="both"/>
        <w:rPr/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בתחתיתו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12880-10-11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אלטלאלקה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20.5.2013</w:t>
      </w:r>
      <w:r>
        <w:rPr>
          <w:rFonts w:cs="Calibri" w:ascii="Calibri" w:hAnsi="Calibri"/>
          <w:rtl w:val="true"/>
        </w:rPr>
        <w:t xml:space="preserve">);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45758-06-12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בנדוד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6.6.2013</w:t>
      </w:r>
      <w:r>
        <w:rPr>
          <w:rFonts w:cs="Calibri" w:ascii="Calibri" w:hAnsi="Calibri"/>
          <w:rtl w:val="true"/>
        </w:rPr>
        <w:t xml:space="preserve">);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10972-10-13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ברטקובסקי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15.1.2014</w:t>
      </w:r>
      <w:r>
        <w:rPr>
          <w:rFonts w:cs="Calibri" w:ascii="Calibri" w:hAnsi="Calibri"/>
          <w:rtl w:val="true"/>
        </w:rPr>
        <w:t xml:space="preserve">);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22716-04-14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שאטו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6.10.2016</w:t>
      </w:r>
      <w:r>
        <w:rPr>
          <w:rFonts w:cs="Calibri" w:ascii="Calibri" w:hAnsi="Calibri"/>
          <w:rtl w:val="true"/>
        </w:rPr>
        <w:t xml:space="preserve">);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10593-06-16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11.12.2016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38200-08-19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נחימוב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24.12.2019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60" w:after="0"/>
        <w:ind w:start="386" w:end="0"/>
        <w:jc w:val="both"/>
        <w:rPr/>
      </w:pPr>
      <w:r>
        <w:rPr>
          <w:rtl w:val="true"/>
        </w:rPr>
        <w:t xml:space="preserve">מתחם העונש ההולם בעבירה של שיבוש מהלכי משפט כעבירה יחידה ללא עבירות נלוות נע בין ענישה מוחשית שלא בהכרח של רכיב מאסר בפועל ועד למאסר בפועל לתקופה קצרה </w:t>
      </w:r>
      <w:r>
        <w:rPr>
          <w:rtl w:val="true"/>
        </w:rPr>
        <w:t>[</w:t>
      </w:r>
      <w:r>
        <w:rPr>
          <w:rtl w:val="true"/>
        </w:rPr>
        <w:t xml:space="preserve">ראו למשל 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9569-10-18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אלקדירי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tl w:val="true"/>
        </w:rPr>
        <w:t>(</w:t>
      </w:r>
      <w:r>
        <w:rPr/>
        <w:t>12.3.2019</w:t>
      </w:r>
      <w:r>
        <w:rPr>
          <w:rtl w:val="true"/>
        </w:rPr>
        <w:t>)</w:t>
      </w:r>
      <w:r>
        <w:rPr>
          <w:sz w:val="26"/>
          <w:szCs w:val="26"/>
          <w:rtl w:val="true"/>
        </w:rPr>
        <w:t>;</w:t>
      </w:r>
      <w:r>
        <w:rPr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52074-01-16</w:t>
        </w:r>
      </w:hyperlink>
      <w:r>
        <w:rPr>
          <w:rtl w:val="true"/>
        </w:rPr>
        <w:t>‏ ‏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 שלמה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7.11.2018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27544-02-14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שאמי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2.2.2016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28998-04-13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18.2.2015</w:t>
      </w:r>
      <w:r>
        <w:rPr>
          <w:rtl w:val="true"/>
        </w:rPr>
        <w:t xml:space="preserve">);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3466/03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13.11.2003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3384-07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6.9.2010</w:t>
      </w:r>
      <w:r>
        <w:rPr>
          <w:rFonts w:cs="Calibri" w:ascii="Calibri" w:hAnsi="Calibri"/>
          <w:rtl w:val="true"/>
        </w:rPr>
        <w:t xml:space="preserve">);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6773-01-14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תראבין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23.4.2014</w:t>
      </w:r>
      <w:r>
        <w:rPr>
          <w:rFonts w:cs="Calibri" w:ascii="Calibri" w:hAnsi="Calibri"/>
          <w:rtl w:val="true"/>
        </w:rPr>
        <w:t xml:space="preserve">);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38490-12-15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אדהיני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21.12.2016</w:t>
      </w:r>
      <w:r>
        <w:rPr>
          <w:rFonts w:cs="Calibri" w:ascii="Calibri" w:hAnsi="Calibri"/>
          <w:rtl w:val="true"/>
        </w:rPr>
        <w:t xml:space="preserve">);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45965-07-16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23.4.2017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numPr>
          <w:ilvl w:val="0"/>
          <w:numId w:val="3"/>
        </w:numPr>
        <w:spacing w:lineRule="auto" w:line="360" w:before="6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מבוטלות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כנדרש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להשתתפות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הוויתורים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במונחים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והקרבתו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ורציני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.  </w:t>
      </w:r>
      <w:r>
        <w:rPr>
          <w:rtl w:val="true"/>
        </w:rPr>
        <w:t xml:space="preserve">בהקשר זה אעיר כי טוב היה אילו לא היה נוקט הסניגור </w:t>
      </w:r>
      <w:r>
        <w:rPr>
          <w:rtl w:val="true"/>
        </w:rPr>
        <w:t>"</w:t>
      </w:r>
      <w:r>
        <w:rPr>
          <w:rtl w:val="true"/>
        </w:rPr>
        <w:t>איומים מרומזים</w:t>
      </w:r>
      <w:r>
        <w:rPr>
          <w:rtl w:val="true"/>
        </w:rPr>
        <w:t xml:space="preserve">" </w:t>
      </w:r>
      <w:r>
        <w:rPr>
          <w:rtl w:val="true"/>
        </w:rPr>
        <w:t>כלפי האפשרות שהמתלוננת היתה נדרשת להעיד</w:t>
      </w:r>
      <w:r>
        <w:rPr>
          <w:rtl w:val="true"/>
        </w:rPr>
        <w:t>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tl w:val="true"/>
        </w:rPr>
        <w:t xml:space="preserve">עוד אזקוף לזכות הנאשם את קיומו של מעסיק עתידי </w:t>
      </w:r>
      <w:r>
        <w:rPr>
          <w:rtl w:val="true"/>
        </w:rPr>
        <w:t>[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], </w:t>
      </w:r>
      <w:r>
        <w:rPr>
          <w:rtl w:val="true"/>
        </w:rPr>
        <w:t>נוכח שידענו כי תעסוקה יש בה כדי לעודד את הנאשם לשקם עצמו ואף לטפל בעצמו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/>
      </w:pPr>
      <w:r>
        <w:rPr>
          <w:rtl w:val="true"/>
        </w:rPr>
        <w:t>עוד אזקוף לקולה את רצונה של המתלוננת בשובו של הנאשם לילדיו</w:t>
      </w:r>
      <w:r>
        <w:rPr>
          <w:rtl w:val="true"/>
        </w:rPr>
        <w:t xml:space="preserve">, </w:t>
      </w:r>
      <w:r>
        <w:rPr>
          <w:rtl w:val="true"/>
        </w:rPr>
        <w:t xml:space="preserve">ואתן לבקשתה של </w:t>
      </w:r>
      <w:r>
        <w:rPr>
          <w:rFonts w:ascii="Calibri" w:hAnsi="Calibri" w:cs="Calibri"/>
          <w:rtl w:val="true"/>
        </w:rPr>
        <w:t>המתלוננת</w:t>
      </w:r>
      <w:r>
        <w:rPr>
          <w:rtl w:val="true"/>
        </w:rPr>
        <w:t xml:space="preserve"> משקל מסויים</w:t>
      </w:r>
      <w:r>
        <w:rPr>
          <w:rtl w:val="true"/>
        </w:rPr>
        <w:t xml:space="preserve">. </w:t>
      </w:r>
      <w:r>
        <w:rPr>
          <w:rtl w:val="true"/>
        </w:rPr>
        <w:t>בשים לב לכך שהענישה אינדיבידואלית</w:t>
      </w:r>
      <w:r>
        <w:rPr>
          <w:rtl w:val="true"/>
        </w:rPr>
        <w:t xml:space="preserve">, </w:t>
      </w:r>
      <w:r>
        <w:rPr>
          <w:rtl w:val="true"/>
        </w:rPr>
        <w:t xml:space="preserve">הרי שכשם שיש להביא בחשבון את הערכים שנפגעו ממעשה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יש לשקול את הערכים שיפגעו ממעשה </w:t>
      </w:r>
      <w:r>
        <w:rPr>
          <w:b/>
          <w:b/>
          <w:bCs/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השוו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2455-09-11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7.12.2011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spacing w:lineRule="auto" w:line="360" w:before="60" w:after="0"/>
        <w:ind w:start="340" w:end="0"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הליך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0"/>
        <w:ind w:start="3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u w:val="single"/>
        </w:rPr>
      </w:pPr>
      <w:r>
        <w:rPr>
          <w:u w:val="single"/>
          <w:rtl w:val="true"/>
        </w:rPr>
        <w:t>הפעלת המאסר המותנה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/>
      </w:pPr>
      <w:r>
        <w:rPr>
          <w:rFonts w:ascii="Calibri" w:hAnsi="Calibri" w:cs="Calibri"/>
          <w:rtl w:val="true"/>
        </w:rPr>
        <w:t>לחובת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tl w:val="true"/>
        </w:rPr>
        <w:t xml:space="preserve"> עונש מאסר מותנה מ</w:t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31315-04-18</w:t>
        </w:r>
      </w:hyperlink>
      <w:r>
        <w:rPr>
          <w:rtl w:val="true"/>
        </w:rPr>
        <w:t xml:space="preserve"> [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] </w:t>
      </w:r>
      <w:r>
        <w:rPr>
          <w:rtl w:val="true"/>
        </w:rPr>
        <w:t xml:space="preserve">בן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לתקופה של שלוש שנים מיום גזר דינו בתיק הקודם </w:t>
      </w:r>
      <w:r>
        <w:rPr>
          <w:rtl w:val="true"/>
        </w:rPr>
        <w:t>[</w:t>
      </w:r>
      <w:r>
        <w:rPr/>
        <w:t>23.12.2018</w:t>
      </w:r>
      <w:r>
        <w:rPr>
          <w:rtl w:val="true"/>
        </w:rPr>
        <w:t xml:space="preserve">].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ביצע העבירות כעשרה חודשים לאחר מכן</w:t>
      </w:r>
      <w:r>
        <w:rPr>
          <w:rtl w:val="true"/>
        </w:rPr>
        <w:t>.</w:t>
      </w:r>
    </w:p>
    <w:p>
      <w:pPr>
        <w:pStyle w:val="Normal"/>
        <w:spacing w:lineRule="auto" w:line="360" w:before="60" w:after="0"/>
        <w:ind w:start="363" w:end="0"/>
        <w:jc w:val="both"/>
        <w:rPr/>
      </w:pPr>
      <w:r>
        <w:rPr>
          <w:rtl w:val="true"/>
        </w:rPr>
        <w:t xml:space="preserve">הכלל הנהוג </w:t>
      </w:r>
      <w:hyperlink r:id="rId44">
        <w:r>
          <w:rPr>
            <w:rStyle w:val="Hyperlink"/>
            <w:color w:val="0000FF"/>
            <w:rtl w:val="true"/>
          </w:rPr>
          <w:t xml:space="preserve">בסעיף </w:t>
        </w:r>
        <w:r>
          <w:rPr>
            <w:rStyle w:val="Hyperlink"/>
            <w:rFonts w:cs="David"/>
            <w:color w:val="0000FF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הוא שעונש המאסר המותנה מופעל במצטבר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6477/10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מינליק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8.1.2013</w:t>
      </w:r>
      <w:r>
        <w:rPr>
          <w:rtl w:val="true"/>
        </w:rPr>
        <w:t xml:space="preserve">) </w:t>
      </w:r>
      <w:r>
        <w:rPr>
          <w:rtl w:val="true"/>
        </w:rPr>
        <w:t>נבחנו השיקולים שעל בית המשפט לשקול בבואו להכריע האם לחפוף את המאסר המותנה או להטילו במצטבר לעונש שנגזר כעת על הנאשם</w:t>
      </w:r>
      <w:r>
        <w:rPr>
          <w:rtl w:val="true"/>
        </w:rPr>
        <w:t xml:space="preserve">. </w:t>
      </w:r>
      <w:r>
        <w:rPr>
          <w:rtl w:val="true"/>
        </w:rPr>
        <w:t xml:space="preserve">נקבע כי </w:t>
      </w:r>
      <w:r>
        <w:rPr>
          <w:rtl w:val="true"/>
        </w:rPr>
        <w:t xml:space="preserve">- </w:t>
      </w:r>
    </w:p>
    <w:p>
      <w:pPr>
        <w:pStyle w:val="Normal"/>
        <w:spacing w:before="120" w:after="240"/>
        <w:ind w:start="1418" w:end="567"/>
        <w:jc w:val="both"/>
        <w:rPr>
          <w:rFonts w:ascii="Narkisim" w:hAnsi="Narkisim" w:cs="Narkisim"/>
          <w:b/>
          <w:bCs/>
        </w:rPr>
      </w:pPr>
      <w:r>
        <w:rPr>
          <w:rFonts w:cs="Narkisim" w:ascii="Narkisim" w:hAnsi="Narkisim"/>
          <w:b/>
          <w:bCs/>
          <w:rtl w:val="true"/>
        </w:rPr>
        <w:t>"</w:t>
      </w:r>
      <w:r>
        <w:rPr>
          <w:rFonts w:ascii="Narkisim" w:hAnsi="Narkisim" w:cs="Narkisim"/>
          <w:b/>
          <w:b/>
          <w:bCs/>
          <w:rtl w:val="true"/>
        </w:rPr>
        <w:t>מן הראוי לזכור ולהזכיר כי עונש המאסר</w:t>
      </w:r>
      <w:r>
        <w:rPr>
          <w:rFonts w:cs="Narkisim" w:ascii="Narkisim" w:hAnsi="Narkisim"/>
          <w:b/>
          <w:bCs/>
          <w:rtl w:val="true"/>
        </w:rPr>
        <w:t>-</w:t>
      </w:r>
      <w:r>
        <w:rPr>
          <w:rFonts w:ascii="Narkisim" w:hAnsi="Narkisim" w:cs="Narkisim"/>
          <w:b/>
          <w:b/>
          <w:bCs/>
          <w:rtl w:val="true"/>
        </w:rPr>
        <w:t>על</w:t>
      </w:r>
      <w:r>
        <w:rPr>
          <w:rFonts w:cs="Narkisim" w:ascii="Narkisim" w:hAnsi="Narkisim"/>
          <w:b/>
          <w:bCs/>
          <w:rtl w:val="true"/>
        </w:rPr>
        <w:t>-</w:t>
      </w:r>
      <w:r>
        <w:rPr>
          <w:rFonts w:ascii="Narkisim" w:hAnsi="Narkisim" w:cs="Narkisim"/>
          <w:b/>
          <w:b/>
          <w:bCs/>
          <w:rtl w:val="true"/>
        </w:rPr>
        <w:t>תנאי נועד להמריץ נאשמים</w:t>
      </w:r>
      <w:r>
        <w:rPr>
          <w:rFonts w:cs="Narkisim" w:ascii="Narkisim" w:hAnsi="Narkisim"/>
          <w:b/>
          <w:bCs/>
          <w:rtl w:val="true"/>
        </w:rPr>
        <w:t xml:space="preserve">, </w:t>
      </w:r>
      <w:r>
        <w:rPr>
          <w:rFonts w:ascii="Narkisim" w:hAnsi="Narkisim" w:cs="Narkisim"/>
          <w:b/>
          <w:b/>
          <w:bCs/>
          <w:rtl w:val="true"/>
        </w:rPr>
        <w:t>לעודדם לחזור למוטב</w:t>
      </w:r>
      <w:r>
        <w:rPr>
          <w:rFonts w:cs="Narkisim" w:ascii="Narkisim" w:hAnsi="Narkisim"/>
          <w:b/>
          <w:bCs/>
          <w:rtl w:val="true"/>
        </w:rPr>
        <w:t xml:space="preserve">, </w:t>
      </w:r>
      <w:r>
        <w:rPr>
          <w:rFonts w:ascii="Narkisim" w:hAnsi="Narkisim" w:cs="Narkisim"/>
          <w:b/>
          <w:b/>
          <w:bCs/>
          <w:rtl w:val="true"/>
        </w:rPr>
        <w:t>להרתיעם לבל ישובו לבצע עבירות</w:t>
      </w:r>
      <w:r>
        <w:rPr>
          <w:rFonts w:cs="Narkisim" w:ascii="Narkisim" w:hAnsi="Narkisim"/>
          <w:b/>
          <w:bCs/>
          <w:rtl w:val="true"/>
        </w:rPr>
        <w:t xml:space="preserve">. </w:t>
      </w:r>
      <w:r>
        <w:rPr>
          <w:rFonts w:ascii="Narkisim" w:hAnsi="Narkisim" w:cs="Narkisim"/>
          <w:b/>
          <w:b/>
          <w:bCs/>
          <w:rtl w:val="true"/>
        </w:rPr>
        <w:t>עונש של מאסר</w:t>
      </w:r>
      <w:r>
        <w:rPr>
          <w:rFonts w:cs="Narkisim" w:ascii="Narkisim" w:hAnsi="Narkisim"/>
          <w:b/>
          <w:bCs/>
          <w:rtl w:val="true"/>
        </w:rPr>
        <w:t>-</w:t>
      </w:r>
      <w:r>
        <w:rPr>
          <w:rFonts w:ascii="Narkisim" w:hAnsi="Narkisim" w:cs="Narkisim"/>
          <w:b/>
          <w:b/>
          <w:bCs/>
          <w:rtl w:val="true"/>
        </w:rPr>
        <w:t>על</w:t>
      </w:r>
      <w:r>
        <w:rPr>
          <w:rFonts w:cs="Narkisim" w:ascii="Narkisim" w:hAnsi="Narkisim"/>
          <w:b/>
          <w:bCs/>
          <w:rtl w:val="true"/>
        </w:rPr>
        <w:t>-</w:t>
      </w:r>
      <w:r>
        <w:rPr>
          <w:rFonts w:ascii="Narkisim" w:hAnsi="Narkisim" w:cs="Narkisim"/>
          <w:b/>
          <w:b/>
          <w:bCs/>
          <w:rtl w:val="true"/>
        </w:rPr>
        <w:t>תנאי מבקש לסייע בשיקומו של הנאשם</w:t>
      </w:r>
      <w:r>
        <w:rPr>
          <w:rFonts w:cs="Narkisim" w:ascii="Narkisim" w:hAnsi="Narkisim"/>
          <w:b/>
          <w:bCs/>
          <w:rtl w:val="true"/>
        </w:rPr>
        <w:t xml:space="preserve">, </w:t>
      </w:r>
      <w:r>
        <w:rPr>
          <w:rFonts w:ascii="Narkisim" w:hAnsi="Narkisim" w:cs="Narkisim"/>
          <w:b/>
          <w:b/>
          <w:bCs/>
          <w:rtl w:val="true"/>
        </w:rPr>
        <w:t>אך משנכזבה תוחלת השיקום</w:t>
      </w:r>
      <w:r>
        <w:rPr>
          <w:rFonts w:cs="Narkisim" w:ascii="Narkisim" w:hAnsi="Narkisim"/>
          <w:b/>
          <w:bCs/>
          <w:rtl w:val="true"/>
        </w:rPr>
        <w:t xml:space="preserve">, </w:t>
      </w:r>
      <w:r>
        <w:rPr>
          <w:rFonts w:ascii="Narkisim" w:hAnsi="Narkisim" w:cs="Narkisim"/>
          <w:b/>
          <w:b/>
          <w:bCs/>
          <w:rtl w:val="true"/>
        </w:rPr>
        <w:t>עולה משקלם של שיקולי הגמול</w:t>
      </w:r>
      <w:r>
        <w:rPr>
          <w:rFonts w:cs="Narkisim" w:ascii="Narkisim" w:hAnsi="Narkisim"/>
          <w:b/>
          <w:bCs/>
          <w:rtl w:val="true"/>
        </w:rPr>
        <w:t xml:space="preserve">, </w:t>
      </w:r>
      <w:r>
        <w:rPr>
          <w:rFonts w:ascii="Narkisim" w:hAnsi="Narkisim" w:cs="Narkisim"/>
          <w:b/>
          <w:b/>
          <w:bCs/>
          <w:rtl w:val="true"/>
        </w:rPr>
        <w:t>ההרתעה והבטחת בטחון הציבור</w:t>
      </w:r>
      <w:r>
        <w:rPr>
          <w:rFonts w:cs="Narkisim" w:ascii="Narkisim" w:hAnsi="Narkisim"/>
          <w:b/>
          <w:bCs/>
          <w:rtl w:val="true"/>
        </w:rPr>
        <w:t>."</w:t>
      </w:r>
    </w:p>
    <w:p>
      <w:pPr>
        <w:pStyle w:val="Normal"/>
        <w:spacing w:lineRule="auto" w:line="360" w:before="60" w:after="0"/>
        <w:ind w:start="363" w:end="0"/>
        <w:jc w:val="both"/>
        <w:rPr/>
      </w:pPr>
      <w:r>
        <w:rPr>
          <w:rtl w:val="true"/>
        </w:rPr>
        <w:t>הנאשם שלפנינו נטל אחריות מהירה וסבורני כי בשים לב לכך ומתוך ראיית התוצאה הכוללת</w:t>
      </w:r>
      <w:r>
        <w:rPr>
          <w:rtl w:val="true"/>
        </w:rPr>
        <w:t xml:space="preserve">, </w:t>
      </w:r>
      <w:r>
        <w:rPr>
          <w:rtl w:val="true"/>
        </w:rPr>
        <w:t>שנכון לחפוף מחצית מהמאסר המותנה</w:t>
      </w:r>
      <w:r>
        <w:rPr>
          <w:rtl w:val="true"/>
        </w:rPr>
        <w:t xml:space="preserve">. </w:t>
      </w:r>
      <w:r>
        <w:rPr>
          <w:rtl w:val="true"/>
        </w:rPr>
        <w:t>תקוותי כי הנאשם יראה בכך מידה של סלחנות וישכיל לראות בכך גם הזדמנות לשיקום היחסים</w:t>
      </w:r>
      <w:r>
        <w:rPr>
          <w:rtl w:val="true"/>
        </w:rPr>
        <w:t xml:space="preserve">, </w:t>
      </w:r>
      <w:r>
        <w:rPr>
          <w:rtl w:val="true"/>
        </w:rPr>
        <w:t>תוך הבנה כי הוא נדרש לטיפול ומצופה ממנו כי יפעל לשם כך</w:t>
      </w:r>
      <w:r>
        <w:rPr>
          <w:rtl w:val="true"/>
        </w:rPr>
        <w:t xml:space="preserve">, </w:t>
      </w:r>
      <w:r>
        <w:rPr>
          <w:rtl w:val="true"/>
        </w:rPr>
        <w:t>כפי שקיוותה המתלוננת</w:t>
      </w:r>
      <w:r>
        <w:rPr>
          <w:rtl w:val="true"/>
        </w:rPr>
        <w:t>.</w:t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40" w:start="3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57" w:start="697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60" w:after="0"/>
        <w:ind w:start="697"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אני מורה על הפעלת המאסר המותנה של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מ</w:t>
      </w:r>
      <w:hyperlink r:id="rId4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31315-04-18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כשמחציתו בחופף ומחציתו במצטבר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60" w:after="0"/>
        <w:ind w:start="697" w:end="0"/>
        <w:jc w:val="both"/>
        <w:rPr/>
      </w:pPr>
      <w:r>
        <w:rPr>
          <w:rFonts w:ascii="Times New Roman" w:hAnsi="Times New Roman" w:cs="Times New Roman"/>
          <w:b/>
          <w:b/>
          <w:bCs/>
          <w:rtl w:val="true"/>
        </w:rPr>
        <w:t>למען הסר ספק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סה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כ ירצה הנאשם עונש של </w:t>
      </w:r>
      <w:r>
        <w:rPr>
          <w:rFonts w:cs="Times New Roman" w:ascii="Times New Roman" w:hAnsi="Times New Roman"/>
          <w:b/>
          <w:bCs/>
        </w:rPr>
        <w:t>10.5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חודשי מאסר שיימנו מיום מעצרו </w:t>
      </w:r>
      <w:r>
        <w:rPr>
          <w:rFonts w:cs="Times New Roman" w:ascii="Times New Roman" w:hAnsi="Times New Roman"/>
          <w:b/>
          <w:bCs/>
        </w:rPr>
        <w:t>4.10.2019</w:t>
      </w:r>
      <w:r>
        <w:rPr>
          <w:rFonts w:cs="Times New Roman" w:ascii="Times New Roman" w:hAnsi="Times New Roman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57" w:start="697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על תנאי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לתקופה של שלוש שנים מתום ריצוי מאסרו ובהתאם </w:t>
      </w:r>
      <w:hyperlink r:id="rId48">
        <w:r>
          <w:rPr>
            <w:rStyle w:val="Hyperlink"/>
            <w:rFonts w:ascii="Times New Roman" w:hAnsi="Times New Roman"/>
            <w:color w:val="0000FF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color w:val="0000FF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</w:rPr>
          <w:t>52</w:t>
        </w:r>
        <w:r>
          <w:rPr>
            <w:rStyle w:val="Hyperlink"/>
            <w:rFonts w:cs="David" w:ascii="Times New Roman" w:hAnsi="Times New Roman"/>
            <w:color w:val="0000FF"/>
            <w:rtl w:val="true"/>
          </w:rPr>
          <w:t>(</w:t>
        </w:r>
        <w:r>
          <w:rPr>
            <w:rStyle w:val="Hyperlink"/>
            <w:rFonts w:ascii="Times New Roman" w:hAnsi="Times New Roman"/>
            <w:color w:val="0000FF"/>
            <w:rtl w:val="true"/>
          </w:rPr>
          <w:t>ג</w:t>
        </w:r>
        <w:r>
          <w:rPr>
            <w:rStyle w:val="Hyperlink"/>
            <w:rFonts w:cs="David" w:ascii="Times New Roman" w:hAnsi="Times New Roman"/>
            <w:color w:val="0000FF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hyperlink r:id="rId4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שלא יעבור עבירת אלימות כלשהי או עבירה של הדחה בחקירה או שיבוש הליכי משפט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60" w:after="0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 w:before="60" w:after="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המחוזי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bookmarkStart w:id="11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16/03/2020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1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איתי ברסלר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גונן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איתי ברסלר גונן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077" w:top="1701" w:footer="872" w:bottom="92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Narkisi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26801-10-19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חיים יוגב זרח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0"/>
        </w:tabs>
        <w:ind w:start="700" w:hanging="360"/>
      </w:pPr>
      <w:rPr>
        <w:szCs w:val="24"/>
        <w:rFonts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6801-10-19"/>
    <w:docVar w:name="caseId" w:val="76851246"/>
    <w:docVar w:name="deriveClass" w:val="NGCS.Protocol.BL.Client.ProtocolBLClientCriminal"/>
    <w:docVar w:name="firstPageNumber" w:val="12"/>
    <w:docVar w:name="MyInfo" w:val="This document was extracted from Nevo's site"/>
    <w:docVar w:name="NGCS.caseInterestID" w:val="-1"/>
    <w:docVar w:name="NGCS.caseTypeID" w:val="-1"/>
    <w:docVar w:name="NGCS.courtID" w:val="41"/>
    <w:docVar w:name="NGCS.isReservedAddressPlace" w:val="0"/>
    <w:docVar w:name="NGCS.isReservedVoucherPlace" w:val="0"/>
    <w:docVar w:name="NGCS.proceedingID" w:val="-1"/>
    <w:docVar w:name="NGCS.userUPN" w:val="023797509@GOV.IL"/>
    <w:docVar w:name="privellegeId" w:val="1"/>
    <w:docVar w:name="protocolId" w:val="10466593"/>
    <w:docVar w:name="releaseSign" w:val="0"/>
    <w:docVar w:name="sittingDateTime" w:val="16/03/2020 10:00     "/>
    <w:docVar w:name="sittingId" w:val="88182424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David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  <w:sz w:val="24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David"/>
      <w:szCs w:val="24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ascii="David" w:hAnsi="David" w:cs="David"/>
      <w:b w:val="false"/>
      <w:bCs w:val="false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  <w:b w:val="false"/>
      <w:bCs w:val="false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3z0">
    <w:name w:val="WW8Num23z0"/>
    <w:qFormat/>
    <w:rPr>
      <w:rFonts w:cs="David"/>
      <w:sz w:val="24"/>
      <w:szCs w:val="24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cs="David"/>
    </w:rPr>
  </w:style>
  <w:style w:type="character" w:styleId="WW8Num24z1">
    <w:name w:val="WW8Num24z1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6">
    <w:name w:val=" Char Char6"/>
    <w:qFormat/>
    <w:rPr>
      <w:rFonts w:ascii="Arial" w:hAnsi="Arial" w:cs="Times New Roman"/>
      <w:b/>
      <w:bCs/>
      <w:kern w:val="2"/>
      <w:sz w:val="32"/>
      <w:szCs w:val="32"/>
    </w:rPr>
  </w:style>
  <w:style w:type="character" w:styleId="CharChar5">
    <w:name w:val=" Char Char5"/>
    <w:qFormat/>
    <w:rPr>
      <w:rFonts w:cs="Times New Roman"/>
      <w:b/>
      <w:bCs/>
      <w:i/>
      <w:iCs/>
      <w:sz w:val="24"/>
      <w:szCs w:val="24"/>
    </w:rPr>
  </w:style>
  <w:style w:type="character" w:styleId="CharChar4">
    <w:name w:val=" Char Char4"/>
    <w:qFormat/>
    <w:rPr>
      <w:rFonts w:cs="Times New Roman"/>
      <w:b/>
      <w:bCs/>
      <w:sz w:val="26"/>
      <w:szCs w:val="26"/>
    </w:rPr>
  </w:style>
  <w:style w:type="character" w:styleId="CharChar3">
    <w:name w:val=" Char Char3"/>
    <w:qFormat/>
    <w:rPr>
      <w:rFonts w:cs="Times New Roman"/>
      <w:sz w:val="24"/>
      <w:szCs w:val="24"/>
    </w:rPr>
  </w:style>
  <w:style w:type="character" w:styleId="CharChar2">
    <w:name w:val=" Char Char2"/>
    <w:qFormat/>
    <w:rPr>
      <w:rFonts w:cs="Times New Roman"/>
      <w:sz w:val="24"/>
      <w:szCs w:val="24"/>
    </w:rPr>
  </w:style>
  <w:style w:type="character" w:styleId="CharChar1">
    <w:name w:val=" Char Char1"/>
    <w:qFormat/>
    <w:rPr>
      <w:rFonts w:ascii="Times New Roman" w:hAnsi="Times New Roman" w:cs="Times New Roman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rFonts w:cs="Times New Roman"/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>
      <w:rFonts w:eastAsia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2.c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3872476" TargetMode="External"/><Relationship Id="rId11" Type="http://schemas.openxmlformats.org/officeDocument/2006/relationships/hyperlink" Target="http://www.nevo.co.il/case/17944047" TargetMode="External"/><Relationship Id="rId12" Type="http://schemas.openxmlformats.org/officeDocument/2006/relationships/hyperlink" Target="http://www.nevo.co.il/case/6065628" TargetMode="External"/><Relationship Id="rId13" Type="http://schemas.openxmlformats.org/officeDocument/2006/relationships/hyperlink" Target="http://www.nevo.co.il/case/6123025" TargetMode="External"/><Relationship Id="rId14" Type="http://schemas.openxmlformats.org/officeDocument/2006/relationships/hyperlink" Target="http://www.nevo.co.il/case/6234659" TargetMode="External"/><Relationship Id="rId15" Type="http://schemas.openxmlformats.org/officeDocument/2006/relationships/hyperlink" Target="http://www.nevo.co.il/case/6248129" TargetMode="External"/><Relationship Id="rId16" Type="http://schemas.openxmlformats.org/officeDocument/2006/relationships/hyperlink" Target="http://www.nevo.co.il/case/22931208" TargetMode="External"/><Relationship Id="rId17" Type="http://schemas.openxmlformats.org/officeDocument/2006/relationships/hyperlink" Target="http://www.nevo.co.il/case/6096785" TargetMode="External"/><Relationship Id="rId18" Type="http://schemas.openxmlformats.org/officeDocument/2006/relationships/hyperlink" Target="http://www.nevo.co.il/case/5808647" TargetMode="External"/><Relationship Id="rId19" Type="http://schemas.openxmlformats.org/officeDocument/2006/relationships/hyperlink" Target="http://www.nevo.co.il/case/5670124" TargetMode="External"/><Relationship Id="rId20" Type="http://schemas.openxmlformats.org/officeDocument/2006/relationships/hyperlink" Target="http://www.nevo.co.il/case/7715118" TargetMode="External"/><Relationship Id="rId21" Type="http://schemas.openxmlformats.org/officeDocument/2006/relationships/hyperlink" Target="http://www.nevo.co.il/case/16940582" TargetMode="External"/><Relationship Id="rId22" Type="http://schemas.openxmlformats.org/officeDocument/2006/relationships/hyperlink" Target="http://www.nevo.co.il/case/3895298" TargetMode="External"/><Relationship Id="rId23" Type="http://schemas.openxmlformats.org/officeDocument/2006/relationships/hyperlink" Target="http://www.nevo.co.il/case/18135422" TargetMode="External"/><Relationship Id="rId24" Type="http://schemas.openxmlformats.org/officeDocument/2006/relationships/hyperlink" Target="http://www.nevo.co.il/case/24370003" TargetMode="External"/><Relationship Id="rId25" Type="http://schemas.openxmlformats.org/officeDocument/2006/relationships/hyperlink" Target="http://www.nevo.co.il/case/16875529" TargetMode="External"/><Relationship Id="rId26" Type="http://schemas.openxmlformats.org/officeDocument/2006/relationships/hyperlink" Target="http://www.nevo.co.il/case/21570090" TargetMode="External"/><Relationship Id="rId27" Type="http://schemas.openxmlformats.org/officeDocument/2006/relationships/hyperlink" Target="http://www.nevo.co.il/case/21953512" TargetMode="External"/><Relationship Id="rId28" Type="http://schemas.openxmlformats.org/officeDocument/2006/relationships/hyperlink" Target="http://www.nevo.co.il/case/21929021" TargetMode="External"/><Relationship Id="rId29" Type="http://schemas.openxmlformats.org/officeDocument/2006/relationships/hyperlink" Target="http://www.nevo.co.il/case/3341239" TargetMode="External"/><Relationship Id="rId30" Type="http://schemas.openxmlformats.org/officeDocument/2006/relationships/hyperlink" Target="http://www.nevo.co.il/case/3996390" TargetMode="External"/><Relationship Id="rId31" Type="http://schemas.openxmlformats.org/officeDocument/2006/relationships/hyperlink" Target="http://www.nevo.co.il/case/8263020" TargetMode="External"/><Relationship Id="rId32" Type="http://schemas.openxmlformats.org/officeDocument/2006/relationships/hyperlink" Target="http://www.nevo.co.il/case/16875529" TargetMode="External"/><Relationship Id="rId33" Type="http://schemas.openxmlformats.org/officeDocument/2006/relationships/hyperlink" Target="http://www.nevo.co.il/case/21908355" TargetMode="External"/><Relationship Id="rId34" Type="http://schemas.openxmlformats.org/officeDocument/2006/relationships/hyperlink" Target="http://www.nevo.co.il/case/25962939" TargetMode="External"/><Relationship Id="rId35" Type="http://schemas.openxmlformats.org/officeDocument/2006/relationships/hyperlink" Target="http://www.nevo.co.il/case/25022775" TargetMode="External"/><Relationship Id="rId36" Type="http://schemas.openxmlformats.org/officeDocument/2006/relationships/hyperlink" Target="http://www.nevo.co.il/case/20910672" TargetMode="External"/><Relationship Id="rId37" Type="http://schemas.openxmlformats.org/officeDocument/2006/relationships/hyperlink" Target="http://www.nevo.co.il/case/11318880" TargetMode="External"/><Relationship Id="rId38" Type="http://schemas.openxmlformats.org/officeDocument/2006/relationships/hyperlink" Target="http://www.nevo.co.il/case/6893535" TargetMode="External"/><Relationship Id="rId39" Type="http://schemas.openxmlformats.org/officeDocument/2006/relationships/hyperlink" Target="http://www.nevo.co.il/case/11220629" TargetMode="External"/><Relationship Id="rId40" Type="http://schemas.openxmlformats.org/officeDocument/2006/relationships/hyperlink" Target="http://www.nevo.co.il/case/20806540" TargetMode="External"/><Relationship Id="rId41" Type="http://schemas.openxmlformats.org/officeDocument/2006/relationships/hyperlink" Target="http://www.nevo.co.il/case/21637084" TargetMode="External"/><Relationship Id="rId42" Type="http://schemas.openxmlformats.org/officeDocument/2006/relationships/hyperlink" Target="http://www.nevo.co.il/case/2749968" TargetMode="External"/><Relationship Id="rId43" Type="http://schemas.openxmlformats.org/officeDocument/2006/relationships/hyperlink" Target="http://www.nevo.co.il/case/23872476" TargetMode="External"/><Relationship Id="rId44" Type="http://schemas.openxmlformats.org/officeDocument/2006/relationships/hyperlink" Target="http://www.nevo.co.il/law/70301/58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6068193" TargetMode="External"/><Relationship Id="rId47" Type="http://schemas.openxmlformats.org/officeDocument/2006/relationships/hyperlink" Target="http://www.nevo.co.il/case/23872476" TargetMode="External"/><Relationship Id="rId48" Type="http://schemas.openxmlformats.org/officeDocument/2006/relationships/hyperlink" Target="http://www.nevo.co.il/law/70301/52.c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  <Pages>11</Pages>
  <Words>3041</Words>
  <Characters>14600</Characters>
  <CharactersWithSpaces>17548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2020-04-21T11:29:00Z</dcterms:created>
  <dc:creator> </dc:creator>
  <dc:description/>
  <cp:keywords/>
  <dc:language>en-IL</dc:language>
  <cp:lastModifiedBy>hofit</cp:lastModifiedBy>
  <cp:lastPrinted>2020-03-16T11:01:00Z</cp:lastPrinted>
  <dcterms:modified xsi:type="dcterms:W3CDTF">2020-04-21T11:29:00Z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חיים יוגב זרח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ProcID=135&amp;PartA=30868&amp;PartB=08&amp;PartC=13</vt:lpwstr>
  </property>
  <property fmtid="{D5CDD505-2E9C-101B-9397-08002B2CF9AE}" pid="9" name="CASENOTES2">
    <vt:lpwstr>ProcID=74&amp;PartA=2.2.2016); ת"פ (י&amp;PartB=ם) 28998&amp;PartC=04-13</vt:lpwstr>
  </property>
  <property fmtid="{D5CDD505-2E9C-101B-9397-08002B2CF9AE}" pid="10" name="CASENOTES3">
    <vt:lpwstr>ProcID=133;209&amp;PartA=3466&amp;PartC=03</vt:lpwstr>
  </property>
  <property fmtid="{D5CDD505-2E9C-101B-9397-08002B2CF9AE}" pid="11" name="CASENOTES4">
    <vt:lpwstr>ProcID=209&amp;PartA=3384&amp;PartC=07</vt:lpwstr>
  </property>
  <property fmtid="{D5CDD505-2E9C-101B-9397-08002B2CF9AE}" pid="12" name="CASESLISTTMP1">
    <vt:lpwstr>23872476:3;17944047;6065628;6123025;6234659;6248129;22931208;6096785;5808647;5670124;7715118;16940582;3895298;18135422;24370003;16875529:2;21570090;21953512;21929021;3341239;3996390;8263020;21908355;25962939;25022775;20910672;11318880;6893535;11220629</vt:lpwstr>
  </property>
  <property fmtid="{D5CDD505-2E9C-101B-9397-08002B2CF9AE}" pid="13" name="CASESLISTTMP2">
    <vt:lpwstr>20806540;21637084;2749968;6068193</vt:lpwstr>
  </property>
  <property fmtid="{D5CDD505-2E9C-101B-9397-08002B2CF9AE}" pid="14" name="CITY">
    <vt:lpwstr>ב"ש</vt:lpwstr>
  </property>
  <property fmtid="{D5CDD505-2E9C-101B-9397-08002B2CF9AE}" pid="15" name="DATE">
    <vt:lpwstr>20200316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איתי ברסלר גונן</vt:lpwstr>
  </property>
  <property fmtid="{D5CDD505-2E9C-101B-9397-08002B2CF9AE}" pid="19" name="LAWLISTTMP1">
    <vt:lpwstr>70301/192;244;058;052.c</vt:lpwstr>
  </property>
  <property fmtid="{D5CDD505-2E9C-101B-9397-08002B2CF9AE}" pid="20" name="LAWYER">
    <vt:lpwstr>רומן זילברמן;אבישי הלל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26801</vt:lpwstr>
  </property>
  <property fmtid="{D5CDD505-2E9C-101B-9397-08002B2CF9AE}" pid="27" name="NEWPARTB">
    <vt:lpwstr>10</vt:lpwstr>
  </property>
  <property fmtid="{D5CDD505-2E9C-101B-9397-08002B2CF9AE}" pid="28" name="NEWPARTC">
    <vt:lpwstr>19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380020200316</vt:lpwstr>
  </property>
  <property fmtid="{D5CDD505-2E9C-101B-9397-08002B2CF9AE}" pid="39" name="TYPE_N_DATE">
    <vt:lpwstr>38020200316</vt:lpwstr>
  </property>
  <property fmtid="{D5CDD505-2E9C-101B-9397-08002B2CF9AE}" pid="40" name="VOLUME">
    <vt:lpwstr/>
  </property>
  <property fmtid="{D5CDD505-2E9C-101B-9397-08002B2CF9AE}" pid="41" name="WORDNUMPAGES">
    <vt:lpwstr>9</vt:lpwstr>
  </property>
</Properties>
</file>